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C7F36" w14:textId="57C4433B" w:rsidR="00AC2315" w:rsidRDefault="00000000">
      <w:pPr>
        <w:spacing w:line="360" w:lineRule="auto"/>
        <w:rPr>
          <w:rFonts w:ascii="仿宋" w:eastAsia="仿宋" w:hAnsi="仿宋" w:cs="仿宋" w:hint="eastAsia"/>
          <w:color w:val="0D0D0D"/>
          <w:spacing w:val="2"/>
          <w:sz w:val="32"/>
          <w:szCs w:val="32"/>
        </w:rPr>
      </w:pPr>
      <w:r>
        <w:rPr>
          <w:rFonts w:ascii="仿宋" w:eastAsia="仿宋" w:hAnsi="仿宋" w:cs="仿宋" w:hint="eastAsia"/>
          <w:color w:val="0D0D0D"/>
          <w:spacing w:val="2"/>
          <w:sz w:val="32"/>
          <w:szCs w:val="32"/>
        </w:rPr>
        <w:t>附件</w:t>
      </w:r>
      <w:r w:rsidR="00CE60E9">
        <w:rPr>
          <w:rFonts w:ascii="仿宋" w:eastAsia="仿宋" w:hAnsi="仿宋" w:cs="仿宋" w:hint="eastAsia"/>
          <w:color w:val="0D0D0D"/>
          <w:spacing w:val="2"/>
          <w:sz w:val="32"/>
          <w:szCs w:val="32"/>
        </w:rPr>
        <w:t>1</w:t>
      </w:r>
      <w:r>
        <w:rPr>
          <w:rFonts w:ascii="仿宋" w:eastAsia="仿宋" w:hAnsi="仿宋" w:cs="仿宋" w:hint="eastAsia"/>
          <w:color w:val="0D0D0D"/>
          <w:spacing w:val="2"/>
          <w:sz w:val="32"/>
          <w:szCs w:val="32"/>
        </w:rPr>
        <w:t>：</w:t>
      </w:r>
    </w:p>
    <w:p w14:paraId="1AF4A58E" w14:textId="77777777" w:rsidR="00AC2315" w:rsidRDefault="00000000">
      <w:pPr>
        <w:spacing w:line="360" w:lineRule="auto"/>
        <w:jc w:val="center"/>
        <w:rPr>
          <w:rFonts w:ascii="宋体" w:hAnsi="宋体" w:hint="eastAsia"/>
          <w:b/>
          <w:bCs/>
          <w:color w:val="0D0D0D"/>
          <w:spacing w:val="2"/>
          <w:sz w:val="44"/>
          <w:szCs w:val="44"/>
        </w:rPr>
      </w:pPr>
      <w:r>
        <w:rPr>
          <w:rFonts w:ascii="宋体" w:hAnsi="宋体" w:hint="eastAsia"/>
          <w:b/>
          <w:bCs/>
          <w:color w:val="0D0D0D"/>
          <w:spacing w:val="2"/>
          <w:sz w:val="44"/>
          <w:szCs w:val="44"/>
        </w:rPr>
        <w:t>贝达喹啉治疗</w:t>
      </w:r>
      <w:proofErr w:type="gramStart"/>
      <w:r>
        <w:rPr>
          <w:rFonts w:ascii="宋体" w:hAnsi="宋体" w:hint="eastAsia"/>
          <w:b/>
          <w:bCs/>
          <w:color w:val="0D0D0D"/>
          <w:spacing w:val="2"/>
          <w:sz w:val="44"/>
          <w:szCs w:val="44"/>
        </w:rPr>
        <w:t>中国耐多药</w:t>
      </w:r>
      <w:proofErr w:type="gramEnd"/>
      <w:r>
        <w:rPr>
          <w:rFonts w:ascii="宋体" w:hAnsi="宋体" w:hint="eastAsia"/>
          <w:b/>
          <w:bCs/>
          <w:color w:val="0D0D0D"/>
          <w:spacing w:val="2"/>
          <w:sz w:val="44"/>
          <w:szCs w:val="44"/>
        </w:rPr>
        <w:t>肺结核患者的有效性及安全性研究</w:t>
      </w:r>
    </w:p>
    <w:p w14:paraId="28B941ED" w14:textId="77777777" w:rsidR="00AC2315" w:rsidRDefault="00AC2315">
      <w:pPr>
        <w:spacing w:line="360" w:lineRule="auto"/>
        <w:ind w:firstLineChars="200" w:firstLine="488"/>
        <w:rPr>
          <w:rFonts w:ascii="宋体" w:hAnsi="宋体" w:hint="eastAsia"/>
          <w:color w:val="0D0D0D"/>
          <w:spacing w:val="2"/>
          <w:sz w:val="24"/>
        </w:rPr>
      </w:pPr>
    </w:p>
    <w:p w14:paraId="5700B63F" w14:textId="77777777" w:rsidR="00AC2315" w:rsidRDefault="00000000">
      <w:pPr>
        <w:numPr>
          <w:ilvl w:val="0"/>
          <w:numId w:val="1"/>
        </w:numPr>
        <w:spacing w:line="640" w:lineRule="exact"/>
        <w:ind w:firstLineChars="200" w:firstLine="648"/>
        <w:rPr>
          <w:rFonts w:eastAsia="仿宋_GB2312"/>
          <w:sz w:val="32"/>
          <w:szCs w:val="32"/>
        </w:rPr>
      </w:pPr>
      <w:r>
        <w:rPr>
          <w:rFonts w:ascii="Times New Roman" w:eastAsia="仿宋" w:hAnsi="Times New Roman"/>
          <w:color w:val="0D0D0D"/>
          <w:spacing w:val="2"/>
          <w:sz w:val="32"/>
          <w:szCs w:val="32"/>
        </w:rPr>
        <w:t>项目名称：</w:t>
      </w:r>
      <w:r>
        <w:rPr>
          <w:rFonts w:eastAsia="仿宋_GB2312" w:hint="eastAsia"/>
          <w:sz w:val="32"/>
          <w:szCs w:val="32"/>
        </w:rPr>
        <w:t>贝达喹啉治疗</w:t>
      </w:r>
      <w:proofErr w:type="gramStart"/>
      <w:r>
        <w:rPr>
          <w:rFonts w:eastAsia="仿宋_GB2312" w:hint="eastAsia"/>
          <w:sz w:val="32"/>
          <w:szCs w:val="32"/>
        </w:rPr>
        <w:t>中国耐多药</w:t>
      </w:r>
      <w:proofErr w:type="gramEnd"/>
      <w:r>
        <w:rPr>
          <w:rFonts w:eastAsia="仿宋_GB2312" w:hint="eastAsia"/>
          <w:sz w:val="32"/>
          <w:szCs w:val="32"/>
        </w:rPr>
        <w:t>肺结核患者的有效性及安全性研究</w:t>
      </w:r>
    </w:p>
    <w:p w14:paraId="27F309C5" w14:textId="77777777" w:rsidR="00AC2315" w:rsidRDefault="00000000">
      <w:pPr>
        <w:numPr>
          <w:ilvl w:val="0"/>
          <w:numId w:val="1"/>
        </w:num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推荐单位</w:t>
      </w:r>
      <w:r>
        <w:rPr>
          <w:rFonts w:ascii="Times New Roman" w:eastAsia="仿宋" w:hAnsi="Times New Roman"/>
          <w:color w:val="0D0D0D"/>
          <w:spacing w:val="2"/>
          <w:sz w:val="32"/>
          <w:szCs w:val="32"/>
        </w:rPr>
        <w:t>:</w:t>
      </w:r>
      <w:r>
        <w:rPr>
          <w:rFonts w:ascii="Times New Roman" w:eastAsia="仿宋" w:hAnsi="Times New Roman" w:hint="eastAsia"/>
          <w:color w:val="0D0D0D"/>
          <w:spacing w:val="2"/>
          <w:sz w:val="32"/>
          <w:szCs w:val="32"/>
        </w:rPr>
        <w:t>长沙市</w:t>
      </w:r>
      <w:r>
        <w:rPr>
          <w:rFonts w:ascii="Times New Roman" w:eastAsia="仿宋" w:hAnsi="Times New Roman"/>
          <w:color w:val="0D0D0D"/>
          <w:spacing w:val="2"/>
          <w:sz w:val="32"/>
          <w:szCs w:val="32"/>
        </w:rPr>
        <w:t>医学会</w:t>
      </w:r>
    </w:p>
    <w:p w14:paraId="5C416369" w14:textId="77777777" w:rsidR="00AC2315" w:rsidRDefault="00000000">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3</w:t>
      </w:r>
      <w:r>
        <w:rPr>
          <w:rFonts w:ascii="Times New Roman" w:eastAsia="仿宋" w:hAnsi="Times New Roman"/>
          <w:color w:val="0D0D0D"/>
          <w:spacing w:val="2"/>
          <w:sz w:val="32"/>
          <w:szCs w:val="32"/>
        </w:rPr>
        <w:t>、推荐意见</w:t>
      </w:r>
      <w:r>
        <w:rPr>
          <w:rFonts w:ascii="Times New Roman" w:eastAsia="仿宋" w:hAnsi="Times New Roman" w:hint="eastAsia"/>
          <w:color w:val="0D0D0D"/>
          <w:spacing w:val="2"/>
          <w:sz w:val="32"/>
          <w:szCs w:val="32"/>
        </w:rPr>
        <w:t>：</w:t>
      </w:r>
    </w:p>
    <w:p w14:paraId="54032FCC" w14:textId="77777777" w:rsidR="00AC2315" w:rsidRDefault="00000000">
      <w:pPr>
        <w:spacing w:line="640" w:lineRule="exact"/>
        <w:ind w:firstLineChars="200" w:firstLine="648"/>
        <w:rPr>
          <w:rFonts w:ascii="Times New Roman" w:eastAsia="仿宋" w:hAnsi="Times New Roman"/>
          <w:color w:val="0D0D0D"/>
          <w:spacing w:val="2"/>
          <w:sz w:val="32"/>
          <w:szCs w:val="32"/>
        </w:rPr>
      </w:pPr>
      <w:proofErr w:type="gramStart"/>
      <w:r>
        <w:rPr>
          <w:rFonts w:ascii="Times New Roman" w:eastAsia="仿宋" w:hAnsi="Times New Roman" w:hint="eastAsia"/>
          <w:color w:val="0D0D0D"/>
          <w:spacing w:val="2"/>
          <w:sz w:val="32"/>
          <w:szCs w:val="32"/>
        </w:rPr>
        <w:t>耐多药</w:t>
      </w:r>
      <w:proofErr w:type="gramEnd"/>
      <w:r>
        <w:rPr>
          <w:rFonts w:ascii="Times New Roman" w:eastAsia="仿宋" w:hAnsi="Times New Roman" w:hint="eastAsia"/>
          <w:color w:val="0D0D0D"/>
          <w:spacing w:val="2"/>
          <w:sz w:val="32"/>
          <w:szCs w:val="32"/>
        </w:rPr>
        <w:t>肺结核（</w:t>
      </w:r>
      <w:r>
        <w:rPr>
          <w:rFonts w:ascii="Times New Roman" w:eastAsia="仿宋" w:hAnsi="Times New Roman"/>
          <w:color w:val="0D0D0D"/>
          <w:spacing w:val="2"/>
          <w:sz w:val="32"/>
          <w:szCs w:val="32"/>
        </w:rPr>
        <w:t>multidrug -resistant tuberculosis</w:t>
      </w:r>
      <w:r>
        <w:rPr>
          <w:rFonts w:ascii="Times New Roman" w:eastAsia="仿宋" w:hAnsi="Times New Roman" w:hint="eastAsia"/>
          <w:color w:val="0D0D0D"/>
          <w:spacing w:val="2"/>
          <w:sz w:val="32"/>
          <w:szCs w:val="32"/>
        </w:rPr>
        <w:t>，</w:t>
      </w:r>
      <w:r>
        <w:rPr>
          <w:rFonts w:ascii="Times New Roman" w:eastAsia="仿宋" w:hAnsi="Times New Roman"/>
          <w:color w:val="0D0D0D"/>
          <w:spacing w:val="2"/>
          <w:sz w:val="32"/>
          <w:szCs w:val="32"/>
        </w:rPr>
        <w:t>MDR-TB</w:t>
      </w:r>
      <w:r>
        <w:rPr>
          <w:rFonts w:ascii="Times New Roman" w:eastAsia="仿宋" w:hAnsi="Times New Roman" w:hint="eastAsia"/>
          <w:color w:val="0D0D0D"/>
          <w:spacing w:val="2"/>
          <w:sz w:val="32"/>
          <w:szCs w:val="32"/>
        </w:rPr>
        <w:t>）治疗难度大、周期长、药物副作用多、医疗费用高，被称为“会传染的癌症”，是全球有效控制结核的重大障碍之一。中国是结核病高负担国家，</w:t>
      </w:r>
      <w:r>
        <w:rPr>
          <w:rFonts w:ascii="Times New Roman" w:eastAsia="仿宋" w:hAnsi="Times New Roman"/>
          <w:color w:val="0D0D0D"/>
          <w:spacing w:val="2"/>
          <w:sz w:val="32"/>
          <w:szCs w:val="32"/>
        </w:rPr>
        <w:t>MDR-TB</w:t>
      </w:r>
      <w:r>
        <w:rPr>
          <w:rFonts w:ascii="Times New Roman" w:eastAsia="仿宋" w:hAnsi="Times New Roman" w:hint="eastAsia"/>
          <w:color w:val="0D0D0D"/>
          <w:spacing w:val="2"/>
          <w:sz w:val="32"/>
          <w:szCs w:val="32"/>
        </w:rPr>
        <w:t>发病率位居世界第二，而治疗成功率仅</w:t>
      </w:r>
      <w:r>
        <w:rPr>
          <w:rFonts w:ascii="Times New Roman" w:eastAsia="仿宋" w:hAnsi="Times New Roman"/>
          <w:color w:val="0D0D0D"/>
          <w:spacing w:val="2"/>
          <w:sz w:val="32"/>
          <w:szCs w:val="32"/>
        </w:rPr>
        <w:t>41%</w:t>
      </w:r>
      <w:r>
        <w:rPr>
          <w:rFonts w:ascii="Times New Roman" w:eastAsia="仿宋" w:hAnsi="Times New Roman" w:hint="eastAsia"/>
          <w:color w:val="0D0D0D"/>
          <w:spacing w:val="2"/>
          <w:sz w:val="32"/>
          <w:szCs w:val="32"/>
        </w:rPr>
        <w:t>，远低于全球平均水平</w:t>
      </w:r>
      <w:r>
        <w:rPr>
          <w:rFonts w:ascii="Times New Roman" w:eastAsia="仿宋" w:hAnsi="Times New Roman"/>
          <w:color w:val="0D0D0D"/>
          <w:spacing w:val="2"/>
          <w:sz w:val="32"/>
          <w:szCs w:val="32"/>
        </w:rPr>
        <w:t>54%</w:t>
      </w:r>
      <w:r>
        <w:rPr>
          <w:rFonts w:ascii="Times New Roman" w:eastAsia="仿宋" w:hAnsi="Times New Roman" w:hint="eastAsia"/>
          <w:color w:val="0D0D0D"/>
          <w:spacing w:val="2"/>
          <w:sz w:val="32"/>
          <w:szCs w:val="32"/>
        </w:rPr>
        <w:t>。贝达喹啉是（</w:t>
      </w:r>
      <w:r>
        <w:rPr>
          <w:rFonts w:ascii="Times New Roman" w:eastAsia="仿宋" w:hAnsi="Times New Roman"/>
          <w:color w:val="0D0D0D"/>
          <w:spacing w:val="2"/>
          <w:sz w:val="32"/>
          <w:szCs w:val="32"/>
        </w:rPr>
        <w:t>bedaquiline</w:t>
      </w:r>
      <w:r>
        <w:rPr>
          <w:rFonts w:ascii="Times New Roman" w:eastAsia="仿宋" w:hAnsi="Times New Roman" w:hint="eastAsia"/>
          <w:color w:val="0D0D0D"/>
          <w:spacing w:val="2"/>
          <w:sz w:val="32"/>
          <w:szCs w:val="32"/>
        </w:rPr>
        <w:t>，</w:t>
      </w:r>
      <w:r>
        <w:rPr>
          <w:rFonts w:ascii="Times New Roman" w:eastAsia="仿宋" w:hAnsi="Times New Roman"/>
          <w:color w:val="0D0D0D"/>
          <w:spacing w:val="2"/>
          <w:sz w:val="32"/>
          <w:szCs w:val="32"/>
        </w:rPr>
        <w:t>BDQ</w:t>
      </w:r>
      <w:r>
        <w:rPr>
          <w:rFonts w:ascii="Times New Roman" w:eastAsia="仿宋" w:hAnsi="Times New Roman" w:hint="eastAsia"/>
          <w:color w:val="0D0D0D"/>
          <w:spacing w:val="2"/>
          <w:sz w:val="32"/>
          <w:szCs w:val="32"/>
        </w:rPr>
        <w:t>）是全球</w:t>
      </w:r>
      <w:r>
        <w:rPr>
          <w:rFonts w:ascii="Times New Roman" w:eastAsia="仿宋" w:hAnsi="Times New Roman"/>
          <w:color w:val="0D0D0D"/>
          <w:spacing w:val="2"/>
          <w:sz w:val="32"/>
          <w:szCs w:val="32"/>
        </w:rPr>
        <w:t>45</w:t>
      </w:r>
      <w:r>
        <w:rPr>
          <w:rFonts w:ascii="Times New Roman" w:eastAsia="仿宋" w:hAnsi="Times New Roman" w:hint="eastAsia"/>
          <w:color w:val="0D0D0D"/>
          <w:spacing w:val="2"/>
          <w:sz w:val="32"/>
          <w:szCs w:val="32"/>
        </w:rPr>
        <w:t>年来首个问世的抗结核新药。国外研究显示，使用含</w:t>
      </w:r>
      <w:r>
        <w:rPr>
          <w:rFonts w:ascii="Times New Roman" w:eastAsia="仿宋" w:hAnsi="Times New Roman"/>
          <w:color w:val="0D0D0D"/>
          <w:spacing w:val="2"/>
          <w:sz w:val="32"/>
          <w:szCs w:val="32"/>
        </w:rPr>
        <w:t>BDQ</w:t>
      </w:r>
      <w:r>
        <w:rPr>
          <w:rFonts w:ascii="Times New Roman" w:eastAsia="仿宋" w:hAnsi="Times New Roman" w:hint="eastAsia"/>
          <w:color w:val="0D0D0D"/>
          <w:spacing w:val="2"/>
          <w:sz w:val="32"/>
          <w:szCs w:val="32"/>
        </w:rPr>
        <w:t>方案治疗</w:t>
      </w:r>
      <w:r>
        <w:rPr>
          <w:rFonts w:ascii="Times New Roman" w:eastAsia="仿宋" w:hAnsi="Times New Roman"/>
          <w:color w:val="0D0D0D"/>
          <w:spacing w:val="2"/>
          <w:sz w:val="32"/>
          <w:szCs w:val="32"/>
        </w:rPr>
        <w:t>MDR-TB</w:t>
      </w:r>
      <w:r>
        <w:rPr>
          <w:rFonts w:ascii="Times New Roman" w:eastAsia="仿宋" w:hAnsi="Times New Roman" w:hint="eastAsia"/>
          <w:color w:val="0D0D0D"/>
          <w:spacing w:val="2"/>
          <w:sz w:val="32"/>
          <w:szCs w:val="32"/>
        </w:rPr>
        <w:t>患者</w:t>
      </w:r>
      <w:r>
        <w:rPr>
          <w:rFonts w:ascii="Times New Roman" w:eastAsia="仿宋" w:hAnsi="Times New Roman"/>
          <w:color w:val="0D0D0D"/>
          <w:spacing w:val="2"/>
          <w:sz w:val="32"/>
          <w:szCs w:val="32"/>
        </w:rPr>
        <w:t>6</w:t>
      </w:r>
      <w:r>
        <w:rPr>
          <w:rFonts w:ascii="Times New Roman" w:eastAsia="仿宋" w:hAnsi="Times New Roman" w:hint="eastAsia"/>
          <w:color w:val="0D0D0D"/>
          <w:spacing w:val="2"/>
          <w:sz w:val="32"/>
          <w:szCs w:val="32"/>
        </w:rPr>
        <w:t>个月</w:t>
      </w:r>
      <w:proofErr w:type="gramStart"/>
      <w:r>
        <w:rPr>
          <w:rFonts w:ascii="Times New Roman" w:eastAsia="仿宋" w:hAnsi="Times New Roman" w:hint="eastAsia"/>
          <w:color w:val="0D0D0D"/>
          <w:spacing w:val="2"/>
          <w:sz w:val="32"/>
          <w:szCs w:val="32"/>
        </w:rPr>
        <w:t>痰</w:t>
      </w:r>
      <w:proofErr w:type="gramEnd"/>
      <w:r>
        <w:rPr>
          <w:rFonts w:ascii="Times New Roman" w:eastAsia="仿宋" w:hAnsi="Times New Roman" w:hint="eastAsia"/>
          <w:color w:val="0D0D0D"/>
          <w:spacing w:val="2"/>
          <w:sz w:val="32"/>
          <w:szCs w:val="32"/>
        </w:rPr>
        <w:t>培养转阴率</w:t>
      </w:r>
      <w:r>
        <w:rPr>
          <w:rFonts w:ascii="Times New Roman" w:eastAsia="仿宋" w:hAnsi="Times New Roman"/>
          <w:color w:val="0D0D0D"/>
          <w:spacing w:val="2"/>
          <w:sz w:val="32"/>
          <w:szCs w:val="32"/>
        </w:rPr>
        <w:t>79.7%, </w:t>
      </w:r>
      <w:r>
        <w:rPr>
          <w:rFonts w:ascii="Times New Roman" w:eastAsia="仿宋" w:hAnsi="Times New Roman" w:hint="eastAsia"/>
          <w:color w:val="0D0D0D"/>
          <w:spacing w:val="2"/>
          <w:sz w:val="32"/>
          <w:szCs w:val="32"/>
        </w:rPr>
        <w:t>治愈率</w:t>
      </w:r>
      <w:r>
        <w:rPr>
          <w:rFonts w:ascii="Times New Roman" w:eastAsia="仿宋" w:hAnsi="Times New Roman"/>
          <w:color w:val="0D0D0D"/>
          <w:spacing w:val="2"/>
          <w:sz w:val="32"/>
          <w:szCs w:val="32"/>
        </w:rPr>
        <w:t>63.8%</w:t>
      </w:r>
      <w:r>
        <w:rPr>
          <w:rFonts w:ascii="Times New Roman" w:eastAsia="仿宋" w:hAnsi="Times New Roman" w:hint="eastAsia"/>
          <w:color w:val="0D0D0D"/>
          <w:spacing w:val="2"/>
          <w:sz w:val="32"/>
          <w:szCs w:val="32"/>
        </w:rPr>
        <w:t>，高于全球治愈率</w:t>
      </w:r>
      <w:r>
        <w:rPr>
          <w:rFonts w:ascii="Times New Roman" w:eastAsia="仿宋" w:hAnsi="Times New Roman"/>
          <w:color w:val="0D0D0D"/>
          <w:spacing w:val="2"/>
          <w:sz w:val="32"/>
          <w:szCs w:val="32"/>
        </w:rPr>
        <w:t>10%</w:t>
      </w:r>
      <w:r>
        <w:rPr>
          <w:rFonts w:ascii="Times New Roman" w:eastAsia="仿宋" w:hAnsi="Times New Roman" w:hint="eastAsia"/>
          <w:color w:val="0D0D0D"/>
          <w:spacing w:val="2"/>
          <w:sz w:val="32"/>
          <w:szCs w:val="32"/>
        </w:rPr>
        <w:t>。</w:t>
      </w:r>
      <w:r>
        <w:rPr>
          <w:rFonts w:ascii="Times New Roman" w:eastAsia="仿宋" w:hAnsi="Times New Roman"/>
          <w:color w:val="0D0D0D"/>
          <w:spacing w:val="2"/>
          <w:sz w:val="32"/>
          <w:szCs w:val="32"/>
        </w:rPr>
        <w:t>BDQ</w:t>
      </w:r>
      <w:r>
        <w:rPr>
          <w:rFonts w:ascii="Times New Roman" w:eastAsia="仿宋" w:hAnsi="Times New Roman" w:hint="eastAsia"/>
          <w:color w:val="0D0D0D"/>
          <w:spacing w:val="2"/>
          <w:sz w:val="32"/>
          <w:szCs w:val="32"/>
        </w:rPr>
        <w:t>引入中国的时间较晚，国内探讨含</w:t>
      </w:r>
      <w:r>
        <w:rPr>
          <w:rFonts w:ascii="Times New Roman" w:eastAsia="仿宋" w:hAnsi="Times New Roman"/>
          <w:color w:val="0D0D0D"/>
          <w:spacing w:val="2"/>
          <w:sz w:val="32"/>
          <w:szCs w:val="32"/>
        </w:rPr>
        <w:t>BDQ</w:t>
      </w:r>
      <w:r>
        <w:rPr>
          <w:rFonts w:ascii="Times New Roman" w:eastAsia="仿宋" w:hAnsi="Times New Roman" w:hint="eastAsia"/>
          <w:color w:val="0D0D0D"/>
          <w:spacing w:val="2"/>
          <w:sz w:val="32"/>
          <w:szCs w:val="32"/>
        </w:rPr>
        <w:t>方案的有效性和安全性研究罕见。</w:t>
      </w:r>
      <w:proofErr w:type="gramStart"/>
      <w:r>
        <w:rPr>
          <w:rFonts w:ascii="Times New Roman" w:eastAsia="仿宋" w:hAnsi="Times New Roman" w:hint="eastAsia"/>
          <w:color w:val="0D0D0D"/>
          <w:spacing w:val="2"/>
          <w:sz w:val="32"/>
          <w:szCs w:val="32"/>
        </w:rPr>
        <w:t>故开展</w:t>
      </w:r>
      <w:proofErr w:type="gramEnd"/>
      <w:r>
        <w:rPr>
          <w:rFonts w:ascii="Times New Roman" w:eastAsia="仿宋" w:hAnsi="Times New Roman"/>
          <w:color w:val="0D0D0D"/>
          <w:spacing w:val="2"/>
          <w:sz w:val="32"/>
          <w:szCs w:val="32"/>
        </w:rPr>
        <w:t>BDQ</w:t>
      </w:r>
      <w:r>
        <w:rPr>
          <w:rFonts w:ascii="Times New Roman" w:eastAsia="仿宋" w:hAnsi="Times New Roman" w:hint="eastAsia"/>
          <w:color w:val="0D0D0D"/>
          <w:spacing w:val="2"/>
          <w:sz w:val="32"/>
          <w:szCs w:val="32"/>
        </w:rPr>
        <w:t>治疗中国</w:t>
      </w:r>
      <w:r>
        <w:rPr>
          <w:rFonts w:ascii="Times New Roman" w:eastAsia="仿宋" w:hAnsi="Times New Roman"/>
          <w:color w:val="0D0D0D"/>
          <w:spacing w:val="2"/>
          <w:sz w:val="32"/>
          <w:szCs w:val="32"/>
        </w:rPr>
        <w:t>MDR-TB</w:t>
      </w:r>
      <w:r>
        <w:rPr>
          <w:rFonts w:ascii="Times New Roman" w:eastAsia="仿宋" w:hAnsi="Times New Roman" w:hint="eastAsia"/>
          <w:color w:val="0D0D0D"/>
          <w:spacing w:val="2"/>
          <w:sz w:val="32"/>
          <w:szCs w:val="32"/>
        </w:rPr>
        <w:t>患者的研究有重要的现实需求和临床意义。</w:t>
      </w:r>
    </w:p>
    <w:p w14:paraId="73EF4BAE" w14:textId="77777777" w:rsidR="00AC2315" w:rsidRDefault="00000000">
      <w:pPr>
        <w:pStyle w:val="a8"/>
        <w:widowControl/>
        <w:spacing w:before="50" w:beforeAutospacing="0" w:after="50" w:afterAutospacing="0"/>
        <w:ind w:firstLineChars="200" w:firstLine="648"/>
        <w:rPr>
          <w:rFonts w:ascii="Times New Roman" w:eastAsia="仿宋" w:hAnsi="Times New Roman"/>
          <w:color w:val="0D0D0D"/>
          <w:spacing w:val="2"/>
          <w:sz w:val="32"/>
          <w:szCs w:val="32"/>
        </w:rPr>
      </w:pPr>
      <w:r>
        <w:rPr>
          <w:rFonts w:ascii="Times New Roman" w:eastAsia="仿宋" w:hAnsi="Times New Roman" w:hint="eastAsia"/>
          <w:color w:val="0D0D0D"/>
          <w:spacing w:val="2"/>
          <w:sz w:val="32"/>
          <w:szCs w:val="32"/>
        </w:rPr>
        <w:t>裴异团队主导本研究为真实世界的前瞻性单臂研究，至</w:t>
      </w:r>
      <w:r>
        <w:rPr>
          <w:rFonts w:ascii="Times New Roman" w:eastAsia="仿宋" w:hAnsi="Times New Roman" w:hint="eastAsia"/>
          <w:color w:val="0D0D0D"/>
          <w:spacing w:val="2"/>
          <w:sz w:val="32"/>
          <w:szCs w:val="32"/>
        </w:rPr>
        <w:t>2018</w:t>
      </w:r>
      <w:r>
        <w:rPr>
          <w:rFonts w:ascii="Times New Roman" w:eastAsia="仿宋" w:hAnsi="Times New Roman" w:hint="eastAsia"/>
          <w:color w:val="0D0D0D"/>
          <w:spacing w:val="2"/>
          <w:sz w:val="32"/>
          <w:szCs w:val="32"/>
        </w:rPr>
        <w:t>年</w:t>
      </w:r>
      <w:r>
        <w:rPr>
          <w:rFonts w:ascii="Times New Roman" w:eastAsia="仿宋" w:hAnsi="Times New Roman" w:hint="eastAsia"/>
          <w:color w:val="0D0D0D"/>
          <w:spacing w:val="2"/>
          <w:sz w:val="32"/>
          <w:szCs w:val="32"/>
        </w:rPr>
        <w:t>3</w:t>
      </w:r>
      <w:r>
        <w:rPr>
          <w:rFonts w:ascii="Times New Roman" w:eastAsia="仿宋" w:hAnsi="Times New Roman" w:hint="eastAsia"/>
          <w:color w:val="0D0D0D"/>
          <w:spacing w:val="2"/>
          <w:sz w:val="32"/>
          <w:szCs w:val="32"/>
        </w:rPr>
        <w:t>月开展以来，已治疗利福平耐药</w:t>
      </w:r>
      <w:r>
        <w:rPr>
          <w:rFonts w:ascii="Times New Roman" w:eastAsia="仿宋" w:hAnsi="Times New Roman" w:hint="eastAsia"/>
          <w:color w:val="0D0D0D"/>
          <w:spacing w:val="2"/>
          <w:sz w:val="32"/>
          <w:szCs w:val="32"/>
        </w:rPr>
        <w:t>/</w:t>
      </w:r>
      <w:proofErr w:type="gramStart"/>
      <w:r>
        <w:rPr>
          <w:rFonts w:ascii="Times New Roman" w:eastAsia="仿宋" w:hAnsi="Times New Roman" w:hint="eastAsia"/>
          <w:color w:val="0D0D0D"/>
          <w:spacing w:val="2"/>
          <w:sz w:val="32"/>
          <w:szCs w:val="32"/>
        </w:rPr>
        <w:t>耐多药</w:t>
      </w:r>
      <w:proofErr w:type="gramEnd"/>
      <w:r>
        <w:rPr>
          <w:rFonts w:ascii="Times New Roman" w:eastAsia="仿宋" w:hAnsi="Times New Roman" w:hint="eastAsia"/>
          <w:color w:val="0D0D0D"/>
          <w:spacing w:val="2"/>
          <w:sz w:val="32"/>
          <w:szCs w:val="32"/>
        </w:rPr>
        <w:t>肺结核患</w:t>
      </w:r>
      <w:r>
        <w:rPr>
          <w:rFonts w:ascii="Times New Roman" w:eastAsia="仿宋" w:hAnsi="Times New Roman" w:hint="eastAsia"/>
          <w:color w:val="0D0D0D"/>
          <w:spacing w:val="2"/>
          <w:sz w:val="32"/>
          <w:szCs w:val="32"/>
        </w:rPr>
        <w:lastRenderedPageBreak/>
        <w:t>者数百例，与国内既往治疗方案相比，含</w:t>
      </w:r>
      <w:r>
        <w:rPr>
          <w:rFonts w:ascii="Times New Roman" w:eastAsia="仿宋" w:hAnsi="Times New Roman" w:hint="eastAsia"/>
          <w:color w:val="0D0D0D"/>
          <w:spacing w:val="2"/>
          <w:sz w:val="32"/>
          <w:szCs w:val="32"/>
        </w:rPr>
        <w:t>BDQ</w:t>
      </w:r>
      <w:r>
        <w:rPr>
          <w:rFonts w:ascii="Times New Roman" w:eastAsia="仿宋" w:hAnsi="Times New Roman" w:hint="eastAsia"/>
          <w:color w:val="0D0D0D"/>
          <w:spacing w:val="2"/>
          <w:sz w:val="32"/>
          <w:szCs w:val="32"/>
        </w:rPr>
        <w:t>方案可显著提高患者</w:t>
      </w:r>
      <w:r>
        <w:rPr>
          <w:rFonts w:ascii="Times New Roman" w:eastAsia="仿宋" w:hAnsi="Times New Roman" w:hint="eastAsia"/>
          <w:color w:val="0D0D0D"/>
          <w:spacing w:val="2"/>
          <w:sz w:val="32"/>
          <w:szCs w:val="32"/>
        </w:rPr>
        <w:t>24</w:t>
      </w:r>
      <w:r>
        <w:rPr>
          <w:rFonts w:ascii="Times New Roman" w:eastAsia="仿宋" w:hAnsi="Times New Roman" w:hint="eastAsia"/>
          <w:color w:val="0D0D0D"/>
          <w:spacing w:val="2"/>
          <w:sz w:val="32"/>
          <w:szCs w:val="32"/>
        </w:rPr>
        <w:t>周痰菌阴转率和空洞闭合率，治愈率提高至</w:t>
      </w:r>
      <w:r>
        <w:rPr>
          <w:rFonts w:ascii="Times New Roman" w:eastAsia="仿宋" w:hAnsi="Times New Roman" w:hint="eastAsia"/>
          <w:color w:val="0D0D0D"/>
          <w:spacing w:val="2"/>
          <w:sz w:val="32"/>
          <w:szCs w:val="32"/>
        </w:rPr>
        <w:t>70%</w:t>
      </w:r>
      <w:r>
        <w:rPr>
          <w:rFonts w:ascii="Times New Roman" w:eastAsia="仿宋" w:hAnsi="Times New Roman" w:hint="eastAsia"/>
          <w:color w:val="0D0D0D"/>
          <w:spacing w:val="2"/>
          <w:sz w:val="32"/>
          <w:szCs w:val="32"/>
        </w:rPr>
        <w:t>以上，已在临床广泛推广运用。本项目为</w:t>
      </w:r>
      <w:r>
        <w:rPr>
          <w:rFonts w:ascii="Times New Roman" w:eastAsia="仿宋" w:hAnsi="Times New Roman" w:hint="eastAsia"/>
          <w:color w:val="0D0D0D"/>
          <w:spacing w:val="2"/>
          <w:sz w:val="32"/>
          <w:szCs w:val="32"/>
        </w:rPr>
        <w:t>BDQ</w:t>
      </w:r>
      <w:r>
        <w:rPr>
          <w:rFonts w:ascii="Times New Roman" w:eastAsia="仿宋" w:hAnsi="Times New Roman" w:hint="eastAsia"/>
          <w:color w:val="0D0D0D"/>
          <w:spacing w:val="2"/>
          <w:sz w:val="32"/>
          <w:szCs w:val="32"/>
        </w:rPr>
        <w:t>在我国的安全有效使用提供了临床经验和科学依据，为含</w:t>
      </w:r>
      <w:r>
        <w:rPr>
          <w:rFonts w:ascii="Times New Roman" w:eastAsia="仿宋" w:hAnsi="Times New Roman" w:hint="eastAsia"/>
          <w:color w:val="0D0D0D"/>
          <w:spacing w:val="2"/>
          <w:sz w:val="32"/>
          <w:szCs w:val="32"/>
        </w:rPr>
        <w:t>BDQ</w:t>
      </w:r>
      <w:r>
        <w:rPr>
          <w:rFonts w:ascii="Times New Roman" w:eastAsia="仿宋" w:hAnsi="Times New Roman" w:hint="eastAsia"/>
          <w:color w:val="0D0D0D"/>
          <w:spacing w:val="2"/>
          <w:sz w:val="32"/>
          <w:szCs w:val="32"/>
        </w:rPr>
        <w:t>方案治疗中国</w:t>
      </w:r>
      <w:r>
        <w:rPr>
          <w:rFonts w:ascii="Times New Roman" w:eastAsia="仿宋" w:hAnsi="Times New Roman" w:hint="eastAsia"/>
          <w:color w:val="0D0D0D"/>
          <w:spacing w:val="2"/>
          <w:sz w:val="32"/>
          <w:szCs w:val="32"/>
        </w:rPr>
        <w:t>MDR-TB</w:t>
      </w:r>
      <w:r>
        <w:rPr>
          <w:rFonts w:ascii="Times New Roman" w:eastAsia="仿宋" w:hAnsi="Times New Roman" w:hint="eastAsia"/>
          <w:color w:val="0D0D0D"/>
          <w:spacing w:val="2"/>
          <w:sz w:val="32"/>
          <w:szCs w:val="32"/>
        </w:rPr>
        <w:t>患者的推广奠定了基础，提高了我国耐药肺结核的治愈率，减少了耐药肺结核的传播，对促进“终结肺结核”目标的早日实现意义重大。</w:t>
      </w:r>
    </w:p>
    <w:p w14:paraId="70CF8DCD" w14:textId="77777777" w:rsidR="00AC2315" w:rsidRDefault="00000000">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hint="eastAsia"/>
          <w:color w:val="0D0D0D"/>
          <w:spacing w:val="2"/>
          <w:sz w:val="32"/>
          <w:szCs w:val="32"/>
        </w:rPr>
        <w:t>在此，我单</w:t>
      </w:r>
      <w:proofErr w:type="gramStart"/>
      <w:r>
        <w:rPr>
          <w:rFonts w:ascii="Times New Roman" w:eastAsia="仿宋" w:hAnsi="Times New Roman" w:hint="eastAsia"/>
          <w:color w:val="0D0D0D"/>
          <w:spacing w:val="2"/>
          <w:sz w:val="32"/>
          <w:szCs w:val="32"/>
        </w:rPr>
        <w:t>位拟</w:t>
      </w:r>
      <w:proofErr w:type="gramEnd"/>
      <w:r>
        <w:rPr>
          <w:rFonts w:ascii="Times New Roman" w:eastAsia="仿宋" w:hAnsi="Times New Roman" w:hint="eastAsia"/>
          <w:color w:val="0D0D0D"/>
          <w:spacing w:val="2"/>
          <w:sz w:val="32"/>
          <w:szCs w:val="32"/>
        </w:rPr>
        <w:t>推荐裴异团队的项目《贝达喹啉治疗中国耐多药肺结核患者的有效性及安全性研究》申报</w:t>
      </w:r>
      <w:r>
        <w:rPr>
          <w:rFonts w:ascii="Times New Roman" w:eastAsia="仿宋" w:hAnsi="Times New Roman" w:hint="eastAsia"/>
          <w:color w:val="0D0D0D"/>
          <w:spacing w:val="2"/>
          <w:sz w:val="32"/>
          <w:szCs w:val="32"/>
        </w:rPr>
        <w:t>2024</w:t>
      </w:r>
      <w:r>
        <w:rPr>
          <w:rFonts w:ascii="Times New Roman" w:eastAsia="仿宋" w:hAnsi="Times New Roman" w:hint="eastAsia"/>
          <w:color w:val="0D0D0D"/>
          <w:spacing w:val="2"/>
          <w:sz w:val="32"/>
          <w:szCs w:val="32"/>
        </w:rPr>
        <w:t>年湖南省医学会湖南医学科技奖二等奖，望评审们通过</w:t>
      </w:r>
      <w:r>
        <w:rPr>
          <w:rFonts w:ascii="Times New Roman" w:eastAsia="仿宋" w:hAnsi="Times New Roman"/>
          <w:color w:val="0D0D0D"/>
          <w:spacing w:val="2"/>
          <w:sz w:val="32"/>
          <w:szCs w:val="32"/>
        </w:rPr>
        <w:t>。</w:t>
      </w:r>
      <w:r>
        <w:rPr>
          <w:rFonts w:ascii="Times New Roman" w:eastAsia="仿宋" w:hAnsi="Times New Roman"/>
          <w:color w:val="0D0D0D"/>
          <w:spacing w:val="2"/>
          <w:sz w:val="32"/>
          <w:szCs w:val="32"/>
        </w:rPr>
        <w:t xml:space="preserve"> </w:t>
      </w:r>
    </w:p>
    <w:p w14:paraId="7B653764" w14:textId="77777777" w:rsidR="00AC2315" w:rsidRDefault="00000000">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4</w:t>
      </w:r>
      <w:r>
        <w:rPr>
          <w:rFonts w:ascii="Times New Roman" w:eastAsia="仿宋" w:hAnsi="Times New Roman"/>
          <w:color w:val="0D0D0D"/>
          <w:spacing w:val="2"/>
          <w:sz w:val="32"/>
          <w:szCs w:val="32"/>
        </w:rPr>
        <w:t>、项目简介</w:t>
      </w:r>
    </w:p>
    <w:p w14:paraId="7067D448" w14:textId="77777777" w:rsidR="00AC2315" w:rsidRDefault="00000000">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4.1</w:t>
      </w:r>
      <w:r>
        <w:rPr>
          <w:rFonts w:ascii="Times New Roman" w:eastAsia="仿宋" w:hAnsi="Times New Roman"/>
          <w:color w:val="000000"/>
          <w:kern w:val="0"/>
          <w:sz w:val="32"/>
          <w:szCs w:val="32"/>
        </w:rPr>
        <w:t>研究内容（方法、结果）：</w:t>
      </w:r>
    </w:p>
    <w:p w14:paraId="0EEFBA98" w14:textId="77777777" w:rsidR="00AC2315" w:rsidRDefault="00000000">
      <w:pPr>
        <w:pStyle w:val="a8"/>
        <w:widowControl/>
        <w:spacing w:before="75" w:beforeAutospacing="0" w:after="75" w:afterAutospacing="0" w:line="640" w:lineRule="exact"/>
        <w:ind w:firstLineChars="200" w:firstLine="648"/>
        <w:rPr>
          <w:rFonts w:ascii="仿宋" w:eastAsia="仿宋" w:hAnsi="仿宋" w:cs="仿宋" w:hint="eastAsia"/>
          <w:color w:val="0D0D0D"/>
          <w:spacing w:val="2"/>
          <w:kern w:val="2"/>
          <w:sz w:val="32"/>
          <w:szCs w:val="32"/>
        </w:rPr>
      </w:pPr>
      <w:proofErr w:type="gramStart"/>
      <w:r>
        <w:rPr>
          <w:rFonts w:ascii="Times New Roman" w:eastAsia="仿宋" w:hAnsi="Times New Roman" w:hint="eastAsia"/>
          <w:color w:val="0D0D0D"/>
          <w:spacing w:val="2"/>
          <w:kern w:val="2"/>
          <w:sz w:val="32"/>
          <w:szCs w:val="32"/>
        </w:rPr>
        <w:t>耐多药</w:t>
      </w:r>
      <w:proofErr w:type="gramEnd"/>
      <w:r>
        <w:rPr>
          <w:rFonts w:ascii="Times New Roman" w:eastAsia="仿宋" w:hAnsi="Times New Roman" w:hint="eastAsia"/>
          <w:color w:val="0D0D0D"/>
          <w:spacing w:val="2"/>
          <w:kern w:val="2"/>
          <w:sz w:val="32"/>
          <w:szCs w:val="32"/>
        </w:rPr>
        <w:t>肺结核（</w:t>
      </w:r>
      <w:r>
        <w:rPr>
          <w:rFonts w:ascii="Times New Roman" w:eastAsia="仿宋" w:hAnsi="Times New Roman"/>
          <w:color w:val="0D0D0D"/>
          <w:spacing w:val="2"/>
          <w:kern w:val="2"/>
          <w:sz w:val="32"/>
          <w:szCs w:val="32"/>
        </w:rPr>
        <w:t>multidrug -resistant tuberculosis</w:t>
      </w:r>
      <w:r>
        <w:rPr>
          <w:rFonts w:ascii="Times New Roman" w:eastAsia="仿宋" w:hAnsi="Times New Roman" w:hint="eastAsia"/>
          <w:color w:val="0D0D0D"/>
          <w:spacing w:val="2"/>
          <w:kern w:val="2"/>
          <w:sz w:val="32"/>
          <w:szCs w:val="32"/>
        </w:rPr>
        <w:t>，</w:t>
      </w:r>
      <w:r>
        <w:rPr>
          <w:rFonts w:ascii="Times New Roman" w:eastAsia="仿宋" w:hAnsi="Times New Roman"/>
          <w:color w:val="0D0D0D"/>
          <w:spacing w:val="2"/>
          <w:kern w:val="2"/>
          <w:sz w:val="32"/>
          <w:szCs w:val="32"/>
        </w:rPr>
        <w:t>MDR-TB</w:t>
      </w:r>
      <w:r>
        <w:rPr>
          <w:rFonts w:ascii="Times New Roman" w:eastAsia="仿宋" w:hAnsi="Times New Roman" w:hint="eastAsia"/>
          <w:color w:val="0D0D0D"/>
          <w:spacing w:val="2"/>
          <w:kern w:val="2"/>
          <w:sz w:val="32"/>
          <w:szCs w:val="32"/>
        </w:rPr>
        <w:t>）治疗难度大、周期长、药物副作用多、医疗费用高，被称为“会传染的癌症”，是全球有效控制结核的重大障碍之一。中国是结核病高负担国家，</w:t>
      </w:r>
      <w:r>
        <w:rPr>
          <w:rFonts w:ascii="Times New Roman" w:eastAsia="仿宋" w:hAnsi="Times New Roman"/>
          <w:color w:val="0D0D0D"/>
          <w:spacing w:val="2"/>
          <w:kern w:val="2"/>
          <w:sz w:val="32"/>
          <w:szCs w:val="32"/>
        </w:rPr>
        <w:t>MDR-TB</w:t>
      </w:r>
      <w:r>
        <w:rPr>
          <w:rFonts w:ascii="Times New Roman" w:eastAsia="仿宋" w:hAnsi="Times New Roman" w:hint="eastAsia"/>
          <w:color w:val="0D0D0D"/>
          <w:spacing w:val="2"/>
          <w:kern w:val="2"/>
          <w:sz w:val="32"/>
          <w:szCs w:val="32"/>
        </w:rPr>
        <w:t>发病率位居世界第二，而治疗成功率仅</w:t>
      </w:r>
      <w:r>
        <w:rPr>
          <w:rFonts w:ascii="Times New Roman" w:eastAsia="仿宋" w:hAnsi="Times New Roman"/>
          <w:color w:val="0D0D0D"/>
          <w:spacing w:val="2"/>
          <w:kern w:val="2"/>
          <w:sz w:val="32"/>
          <w:szCs w:val="32"/>
        </w:rPr>
        <w:t>41%</w:t>
      </w:r>
      <w:r>
        <w:rPr>
          <w:rFonts w:ascii="Times New Roman" w:eastAsia="仿宋" w:hAnsi="Times New Roman" w:hint="eastAsia"/>
          <w:color w:val="0D0D0D"/>
          <w:spacing w:val="2"/>
          <w:kern w:val="2"/>
          <w:sz w:val="32"/>
          <w:szCs w:val="32"/>
        </w:rPr>
        <w:t>，远低于全球平均水平</w:t>
      </w:r>
      <w:r>
        <w:rPr>
          <w:rFonts w:ascii="Times New Roman" w:eastAsia="仿宋" w:hAnsi="Times New Roman"/>
          <w:color w:val="0D0D0D"/>
          <w:spacing w:val="2"/>
          <w:kern w:val="2"/>
          <w:sz w:val="32"/>
          <w:szCs w:val="32"/>
        </w:rPr>
        <w:t>54%</w:t>
      </w:r>
      <w:r>
        <w:rPr>
          <w:rFonts w:ascii="Times New Roman" w:eastAsia="仿宋" w:hAnsi="Times New Roman" w:hint="eastAsia"/>
          <w:color w:val="0D0D0D"/>
          <w:spacing w:val="2"/>
          <w:kern w:val="2"/>
          <w:sz w:val="32"/>
          <w:szCs w:val="32"/>
        </w:rPr>
        <w:t>。贝达喹啉是（</w:t>
      </w:r>
      <w:r>
        <w:rPr>
          <w:rFonts w:ascii="Times New Roman" w:eastAsia="仿宋" w:hAnsi="Times New Roman"/>
          <w:color w:val="0D0D0D"/>
          <w:spacing w:val="2"/>
          <w:kern w:val="2"/>
          <w:sz w:val="32"/>
          <w:szCs w:val="32"/>
        </w:rPr>
        <w:t>bedaquiline</w:t>
      </w:r>
      <w:r>
        <w:rPr>
          <w:rFonts w:ascii="Times New Roman" w:eastAsia="仿宋" w:hAnsi="Times New Roman" w:hint="eastAsia"/>
          <w:color w:val="0D0D0D"/>
          <w:spacing w:val="2"/>
          <w:kern w:val="2"/>
          <w:sz w:val="32"/>
          <w:szCs w:val="32"/>
        </w:rPr>
        <w:t>，</w:t>
      </w:r>
      <w:r>
        <w:rPr>
          <w:rFonts w:ascii="Times New Roman" w:eastAsia="仿宋" w:hAnsi="Times New Roman"/>
          <w:color w:val="0D0D0D"/>
          <w:spacing w:val="2"/>
          <w:kern w:val="2"/>
          <w:sz w:val="32"/>
          <w:szCs w:val="32"/>
        </w:rPr>
        <w:t>BDQ</w:t>
      </w:r>
      <w:r>
        <w:rPr>
          <w:rFonts w:ascii="Times New Roman" w:eastAsia="仿宋" w:hAnsi="Times New Roman" w:hint="eastAsia"/>
          <w:color w:val="0D0D0D"/>
          <w:spacing w:val="2"/>
          <w:kern w:val="2"/>
          <w:sz w:val="32"/>
          <w:szCs w:val="32"/>
        </w:rPr>
        <w:t>）是全球</w:t>
      </w:r>
      <w:r>
        <w:rPr>
          <w:rFonts w:ascii="Times New Roman" w:eastAsia="仿宋" w:hAnsi="Times New Roman"/>
          <w:color w:val="0D0D0D"/>
          <w:spacing w:val="2"/>
          <w:kern w:val="2"/>
          <w:sz w:val="32"/>
          <w:szCs w:val="32"/>
        </w:rPr>
        <w:t>45</w:t>
      </w:r>
      <w:r>
        <w:rPr>
          <w:rFonts w:ascii="Times New Roman" w:eastAsia="仿宋" w:hAnsi="Times New Roman" w:hint="eastAsia"/>
          <w:color w:val="0D0D0D"/>
          <w:spacing w:val="2"/>
          <w:kern w:val="2"/>
          <w:sz w:val="32"/>
          <w:szCs w:val="32"/>
        </w:rPr>
        <w:t>年来首个问世的抗结核新药。国外研究显示，使用含</w:t>
      </w:r>
      <w:r>
        <w:rPr>
          <w:rFonts w:ascii="Times New Roman" w:eastAsia="仿宋" w:hAnsi="Times New Roman"/>
          <w:color w:val="0D0D0D"/>
          <w:spacing w:val="2"/>
          <w:kern w:val="2"/>
          <w:sz w:val="32"/>
          <w:szCs w:val="32"/>
        </w:rPr>
        <w:t>BDQ</w:t>
      </w:r>
      <w:r>
        <w:rPr>
          <w:rFonts w:ascii="Times New Roman" w:eastAsia="仿宋" w:hAnsi="Times New Roman" w:hint="eastAsia"/>
          <w:color w:val="0D0D0D"/>
          <w:spacing w:val="2"/>
          <w:kern w:val="2"/>
          <w:sz w:val="32"/>
          <w:szCs w:val="32"/>
        </w:rPr>
        <w:t>方案治疗</w:t>
      </w:r>
      <w:r>
        <w:rPr>
          <w:rFonts w:ascii="Times New Roman" w:eastAsia="仿宋" w:hAnsi="Times New Roman"/>
          <w:color w:val="0D0D0D"/>
          <w:spacing w:val="2"/>
          <w:kern w:val="2"/>
          <w:sz w:val="32"/>
          <w:szCs w:val="32"/>
        </w:rPr>
        <w:t>MDR-TB</w:t>
      </w:r>
      <w:r>
        <w:rPr>
          <w:rFonts w:ascii="Times New Roman" w:eastAsia="仿宋" w:hAnsi="Times New Roman" w:hint="eastAsia"/>
          <w:color w:val="0D0D0D"/>
          <w:spacing w:val="2"/>
          <w:kern w:val="2"/>
          <w:sz w:val="32"/>
          <w:szCs w:val="32"/>
        </w:rPr>
        <w:t>患者</w:t>
      </w:r>
      <w:r>
        <w:rPr>
          <w:rFonts w:ascii="Times New Roman" w:eastAsia="仿宋" w:hAnsi="Times New Roman"/>
          <w:color w:val="0D0D0D"/>
          <w:spacing w:val="2"/>
          <w:kern w:val="2"/>
          <w:sz w:val="32"/>
          <w:szCs w:val="32"/>
        </w:rPr>
        <w:t>6</w:t>
      </w:r>
      <w:r>
        <w:rPr>
          <w:rFonts w:ascii="Times New Roman" w:eastAsia="仿宋" w:hAnsi="Times New Roman" w:hint="eastAsia"/>
          <w:color w:val="0D0D0D"/>
          <w:spacing w:val="2"/>
          <w:kern w:val="2"/>
          <w:sz w:val="32"/>
          <w:szCs w:val="32"/>
        </w:rPr>
        <w:t>个月</w:t>
      </w:r>
      <w:proofErr w:type="gramStart"/>
      <w:r>
        <w:rPr>
          <w:rFonts w:ascii="Times New Roman" w:eastAsia="仿宋" w:hAnsi="Times New Roman" w:hint="eastAsia"/>
          <w:color w:val="0D0D0D"/>
          <w:spacing w:val="2"/>
          <w:kern w:val="2"/>
          <w:sz w:val="32"/>
          <w:szCs w:val="32"/>
        </w:rPr>
        <w:t>痰</w:t>
      </w:r>
      <w:proofErr w:type="gramEnd"/>
      <w:r>
        <w:rPr>
          <w:rFonts w:ascii="Times New Roman" w:eastAsia="仿宋" w:hAnsi="Times New Roman" w:hint="eastAsia"/>
          <w:color w:val="0D0D0D"/>
          <w:spacing w:val="2"/>
          <w:kern w:val="2"/>
          <w:sz w:val="32"/>
          <w:szCs w:val="32"/>
        </w:rPr>
        <w:t>培养转阴率</w:t>
      </w:r>
      <w:r>
        <w:rPr>
          <w:rFonts w:ascii="Times New Roman" w:eastAsia="仿宋" w:hAnsi="Times New Roman"/>
          <w:color w:val="0D0D0D"/>
          <w:spacing w:val="2"/>
          <w:kern w:val="2"/>
          <w:sz w:val="32"/>
          <w:szCs w:val="32"/>
        </w:rPr>
        <w:t>79.7%, </w:t>
      </w:r>
      <w:r>
        <w:rPr>
          <w:rFonts w:ascii="Times New Roman" w:eastAsia="仿宋" w:hAnsi="Times New Roman" w:hint="eastAsia"/>
          <w:color w:val="0D0D0D"/>
          <w:spacing w:val="2"/>
          <w:kern w:val="2"/>
          <w:sz w:val="32"/>
          <w:szCs w:val="32"/>
        </w:rPr>
        <w:t>治愈率</w:t>
      </w:r>
      <w:r>
        <w:rPr>
          <w:rFonts w:ascii="Times New Roman" w:eastAsia="仿宋" w:hAnsi="Times New Roman"/>
          <w:color w:val="0D0D0D"/>
          <w:spacing w:val="2"/>
          <w:kern w:val="2"/>
          <w:sz w:val="32"/>
          <w:szCs w:val="32"/>
        </w:rPr>
        <w:t>63.8%</w:t>
      </w:r>
      <w:r>
        <w:rPr>
          <w:rFonts w:ascii="Times New Roman" w:eastAsia="仿宋" w:hAnsi="Times New Roman" w:hint="eastAsia"/>
          <w:color w:val="0D0D0D"/>
          <w:spacing w:val="2"/>
          <w:kern w:val="2"/>
          <w:sz w:val="32"/>
          <w:szCs w:val="32"/>
        </w:rPr>
        <w:t>，高于全球治愈率</w:t>
      </w:r>
      <w:r>
        <w:rPr>
          <w:rFonts w:ascii="Times New Roman" w:eastAsia="仿宋" w:hAnsi="Times New Roman"/>
          <w:color w:val="0D0D0D"/>
          <w:spacing w:val="2"/>
          <w:kern w:val="2"/>
          <w:sz w:val="32"/>
          <w:szCs w:val="32"/>
        </w:rPr>
        <w:t>10%</w:t>
      </w:r>
      <w:r>
        <w:rPr>
          <w:rFonts w:ascii="Times New Roman" w:eastAsia="仿宋" w:hAnsi="Times New Roman" w:hint="eastAsia"/>
          <w:color w:val="0D0D0D"/>
          <w:spacing w:val="2"/>
          <w:kern w:val="2"/>
          <w:sz w:val="32"/>
          <w:szCs w:val="32"/>
        </w:rPr>
        <w:t>。</w:t>
      </w:r>
      <w:r>
        <w:rPr>
          <w:rFonts w:ascii="Times New Roman" w:eastAsia="仿宋" w:hAnsi="Times New Roman"/>
          <w:color w:val="0D0D0D"/>
          <w:spacing w:val="2"/>
          <w:kern w:val="2"/>
          <w:sz w:val="32"/>
          <w:szCs w:val="32"/>
        </w:rPr>
        <w:t>BDQ</w:t>
      </w:r>
      <w:r>
        <w:rPr>
          <w:rFonts w:ascii="Times New Roman" w:eastAsia="仿宋" w:hAnsi="Times New Roman" w:hint="eastAsia"/>
          <w:color w:val="0D0D0D"/>
          <w:spacing w:val="2"/>
          <w:kern w:val="2"/>
          <w:sz w:val="32"/>
          <w:szCs w:val="32"/>
        </w:rPr>
        <w:t>引入中国的时间较晚，国内探</w:t>
      </w:r>
      <w:r>
        <w:rPr>
          <w:rFonts w:ascii="Times New Roman" w:eastAsia="仿宋" w:hAnsi="Times New Roman" w:hint="eastAsia"/>
          <w:color w:val="0D0D0D"/>
          <w:spacing w:val="2"/>
          <w:kern w:val="2"/>
          <w:sz w:val="32"/>
          <w:szCs w:val="32"/>
        </w:rPr>
        <w:lastRenderedPageBreak/>
        <w:t>讨含</w:t>
      </w:r>
      <w:r>
        <w:rPr>
          <w:rFonts w:ascii="Times New Roman" w:eastAsia="仿宋" w:hAnsi="Times New Roman"/>
          <w:color w:val="0D0D0D"/>
          <w:spacing w:val="2"/>
          <w:kern w:val="2"/>
          <w:sz w:val="32"/>
          <w:szCs w:val="32"/>
        </w:rPr>
        <w:t>BDQ</w:t>
      </w:r>
      <w:r>
        <w:rPr>
          <w:rFonts w:ascii="Times New Roman" w:eastAsia="仿宋" w:hAnsi="Times New Roman" w:hint="eastAsia"/>
          <w:color w:val="0D0D0D"/>
          <w:spacing w:val="2"/>
          <w:kern w:val="2"/>
          <w:sz w:val="32"/>
          <w:szCs w:val="32"/>
        </w:rPr>
        <w:t>方案的有效性和安全性研究罕见。</w:t>
      </w:r>
      <w:proofErr w:type="gramStart"/>
      <w:r>
        <w:rPr>
          <w:rFonts w:ascii="Times New Roman" w:eastAsia="仿宋" w:hAnsi="Times New Roman" w:hint="eastAsia"/>
          <w:color w:val="0D0D0D"/>
          <w:spacing w:val="2"/>
          <w:kern w:val="2"/>
          <w:sz w:val="32"/>
          <w:szCs w:val="32"/>
        </w:rPr>
        <w:t>故开展</w:t>
      </w:r>
      <w:proofErr w:type="gramEnd"/>
      <w:r>
        <w:rPr>
          <w:rFonts w:ascii="Times New Roman" w:eastAsia="仿宋" w:hAnsi="Times New Roman"/>
          <w:color w:val="0D0D0D"/>
          <w:spacing w:val="2"/>
          <w:kern w:val="2"/>
          <w:sz w:val="32"/>
          <w:szCs w:val="32"/>
        </w:rPr>
        <w:t>BDQ</w:t>
      </w:r>
      <w:r>
        <w:rPr>
          <w:rFonts w:ascii="Times New Roman" w:eastAsia="仿宋" w:hAnsi="Times New Roman" w:hint="eastAsia"/>
          <w:color w:val="0D0D0D"/>
          <w:spacing w:val="2"/>
          <w:kern w:val="2"/>
          <w:sz w:val="32"/>
          <w:szCs w:val="32"/>
        </w:rPr>
        <w:t>治疗中国</w:t>
      </w:r>
      <w:r>
        <w:rPr>
          <w:rFonts w:ascii="Times New Roman" w:eastAsia="仿宋" w:hAnsi="Times New Roman"/>
          <w:color w:val="0D0D0D"/>
          <w:spacing w:val="2"/>
          <w:kern w:val="2"/>
          <w:sz w:val="32"/>
          <w:szCs w:val="32"/>
        </w:rPr>
        <w:t>MDR-TB</w:t>
      </w:r>
      <w:r>
        <w:rPr>
          <w:rFonts w:ascii="Times New Roman" w:eastAsia="仿宋" w:hAnsi="Times New Roman" w:hint="eastAsia"/>
          <w:color w:val="0D0D0D"/>
          <w:spacing w:val="2"/>
          <w:kern w:val="2"/>
          <w:sz w:val="32"/>
          <w:szCs w:val="32"/>
        </w:rPr>
        <w:t>患者的研究有重要的现实需求和临床意义。本研究隶属</w:t>
      </w:r>
      <w:r>
        <w:rPr>
          <w:rFonts w:ascii="Times New Roman" w:eastAsia="仿宋" w:hAnsi="Times New Roman"/>
          <w:color w:val="0D0D0D"/>
          <w:spacing w:val="2"/>
          <w:kern w:val="2"/>
          <w:sz w:val="32"/>
          <w:szCs w:val="32"/>
        </w:rPr>
        <w:t>BDQ</w:t>
      </w:r>
      <w:r>
        <w:rPr>
          <w:rFonts w:ascii="Times New Roman" w:eastAsia="仿宋" w:hAnsi="Times New Roman" w:hint="eastAsia"/>
          <w:color w:val="0D0D0D"/>
          <w:spacing w:val="2"/>
          <w:kern w:val="2"/>
          <w:sz w:val="32"/>
          <w:szCs w:val="32"/>
        </w:rPr>
        <w:t>在我国上市后的</w:t>
      </w:r>
      <w:r>
        <w:rPr>
          <w:rFonts w:ascii="Times New Roman" w:eastAsia="仿宋" w:hAnsi="Times New Roman"/>
          <w:color w:val="0D0D0D"/>
          <w:spacing w:val="2"/>
          <w:kern w:val="2"/>
          <w:sz w:val="32"/>
          <w:szCs w:val="32"/>
        </w:rPr>
        <w:t> Ⅳ</w:t>
      </w:r>
      <w:r>
        <w:rPr>
          <w:rFonts w:ascii="Times New Roman" w:eastAsia="仿宋" w:hAnsi="Times New Roman" w:hint="eastAsia"/>
          <w:color w:val="0D0D0D"/>
          <w:spacing w:val="2"/>
          <w:kern w:val="2"/>
          <w:sz w:val="32"/>
          <w:szCs w:val="32"/>
        </w:rPr>
        <w:t>期临床研究，为国内最早探讨</w:t>
      </w:r>
      <w:r>
        <w:rPr>
          <w:rFonts w:ascii="Times New Roman" w:eastAsia="仿宋" w:hAnsi="Times New Roman"/>
          <w:color w:val="0D0D0D"/>
          <w:spacing w:val="2"/>
          <w:kern w:val="2"/>
          <w:sz w:val="32"/>
          <w:szCs w:val="32"/>
        </w:rPr>
        <w:t>BDQ</w:t>
      </w:r>
      <w:r>
        <w:rPr>
          <w:rFonts w:ascii="Times New Roman" w:eastAsia="仿宋" w:hAnsi="Times New Roman" w:hint="eastAsia"/>
          <w:color w:val="0D0D0D"/>
          <w:spacing w:val="2"/>
          <w:kern w:val="2"/>
          <w:sz w:val="32"/>
          <w:szCs w:val="32"/>
        </w:rPr>
        <w:t>治疗中国耐药结核病的临床研究之一。本研究探讨了</w:t>
      </w:r>
      <w:r>
        <w:rPr>
          <w:rFonts w:ascii="Times New Roman" w:eastAsia="仿宋" w:hAnsi="Times New Roman"/>
          <w:color w:val="0D0D0D"/>
          <w:spacing w:val="2"/>
          <w:kern w:val="2"/>
          <w:sz w:val="32"/>
          <w:szCs w:val="32"/>
        </w:rPr>
        <w:t>BDQ</w:t>
      </w:r>
      <w:r>
        <w:rPr>
          <w:rFonts w:ascii="Times New Roman" w:eastAsia="仿宋" w:hAnsi="Times New Roman" w:hint="eastAsia"/>
          <w:color w:val="0D0D0D"/>
          <w:spacing w:val="2"/>
          <w:kern w:val="2"/>
          <w:sz w:val="32"/>
          <w:szCs w:val="32"/>
        </w:rPr>
        <w:t>新药治疗中国</w:t>
      </w:r>
      <w:r>
        <w:rPr>
          <w:rFonts w:ascii="Times New Roman" w:eastAsia="仿宋" w:hAnsi="Times New Roman"/>
          <w:color w:val="0D0D0D"/>
          <w:spacing w:val="2"/>
          <w:kern w:val="2"/>
          <w:sz w:val="32"/>
          <w:szCs w:val="32"/>
        </w:rPr>
        <w:t>MDR-TB</w:t>
      </w:r>
      <w:r>
        <w:rPr>
          <w:rFonts w:ascii="Times New Roman" w:eastAsia="仿宋" w:hAnsi="Times New Roman" w:hint="eastAsia"/>
          <w:color w:val="0D0D0D"/>
          <w:spacing w:val="2"/>
          <w:kern w:val="2"/>
          <w:sz w:val="32"/>
          <w:szCs w:val="32"/>
        </w:rPr>
        <w:t>患者的有效性及安全性，共获得三项结果及科学发现：</w:t>
      </w:r>
      <w:r>
        <w:rPr>
          <w:rFonts w:ascii="Times New Roman" w:eastAsia="仿宋" w:hAnsi="Times New Roman"/>
          <w:color w:val="0D0D0D"/>
          <w:spacing w:val="2"/>
          <w:kern w:val="2"/>
          <w:sz w:val="32"/>
          <w:szCs w:val="32"/>
        </w:rPr>
        <w:t>①</w:t>
      </w:r>
      <w:r>
        <w:rPr>
          <w:rFonts w:ascii="Times New Roman" w:eastAsia="仿宋" w:hAnsi="Times New Roman" w:hint="eastAsia"/>
          <w:color w:val="0D0D0D"/>
          <w:spacing w:val="2"/>
          <w:kern w:val="2"/>
          <w:sz w:val="32"/>
          <w:szCs w:val="32"/>
        </w:rPr>
        <w:t xml:space="preserve"> </w:t>
      </w:r>
      <w:r>
        <w:rPr>
          <w:rFonts w:ascii="Times New Roman" w:eastAsia="仿宋" w:hAnsi="Times New Roman" w:hint="eastAsia"/>
          <w:color w:val="0D0D0D"/>
          <w:spacing w:val="2"/>
          <w:kern w:val="2"/>
          <w:sz w:val="32"/>
          <w:szCs w:val="32"/>
        </w:rPr>
        <w:t>本研究通过观察分析纳入的患者疗效分析及安全性监测结果发现含</w:t>
      </w:r>
      <w:r>
        <w:rPr>
          <w:rFonts w:ascii="Times New Roman" w:eastAsia="仿宋" w:hAnsi="Times New Roman"/>
          <w:color w:val="0D0D0D"/>
          <w:spacing w:val="2"/>
          <w:kern w:val="2"/>
          <w:sz w:val="32"/>
          <w:szCs w:val="32"/>
        </w:rPr>
        <w:t>BDQ</w:t>
      </w:r>
      <w:r>
        <w:rPr>
          <w:rFonts w:ascii="Times New Roman" w:eastAsia="仿宋" w:hAnsi="Times New Roman" w:hint="eastAsia"/>
          <w:color w:val="0D0D0D"/>
          <w:spacing w:val="2"/>
          <w:kern w:val="2"/>
          <w:sz w:val="32"/>
          <w:szCs w:val="32"/>
        </w:rPr>
        <w:t>方案可显著提高中国</w:t>
      </w:r>
      <w:r>
        <w:rPr>
          <w:rFonts w:ascii="Times New Roman" w:eastAsia="仿宋" w:hAnsi="Times New Roman"/>
          <w:color w:val="0D0D0D"/>
          <w:spacing w:val="2"/>
          <w:kern w:val="2"/>
          <w:sz w:val="32"/>
          <w:szCs w:val="32"/>
        </w:rPr>
        <w:t>MDR-TB</w:t>
      </w:r>
      <w:r>
        <w:rPr>
          <w:rFonts w:ascii="Times New Roman" w:eastAsia="仿宋" w:hAnsi="Times New Roman" w:hint="eastAsia"/>
          <w:color w:val="0D0D0D"/>
          <w:spacing w:val="2"/>
          <w:kern w:val="2"/>
          <w:sz w:val="32"/>
          <w:szCs w:val="32"/>
        </w:rPr>
        <w:t>患者</w:t>
      </w:r>
      <w:r>
        <w:rPr>
          <w:rFonts w:ascii="Times New Roman" w:eastAsia="仿宋" w:hAnsi="Times New Roman"/>
          <w:color w:val="0D0D0D"/>
          <w:spacing w:val="2"/>
          <w:kern w:val="2"/>
          <w:sz w:val="32"/>
          <w:szCs w:val="32"/>
        </w:rPr>
        <w:t>24</w:t>
      </w:r>
      <w:r>
        <w:rPr>
          <w:rFonts w:ascii="Times New Roman" w:eastAsia="仿宋" w:hAnsi="Times New Roman" w:hint="eastAsia"/>
          <w:color w:val="0D0D0D"/>
          <w:spacing w:val="2"/>
          <w:kern w:val="2"/>
          <w:sz w:val="32"/>
          <w:szCs w:val="32"/>
        </w:rPr>
        <w:t>周痰菌阴转率及空洞闭合率，且安全性可耐受。</w:t>
      </w:r>
      <w:r>
        <w:rPr>
          <w:rFonts w:ascii="Times New Roman" w:eastAsia="仿宋" w:hAnsi="Times New Roman"/>
          <w:color w:val="0D0D0D"/>
          <w:spacing w:val="2"/>
          <w:kern w:val="2"/>
          <w:sz w:val="32"/>
          <w:szCs w:val="32"/>
        </w:rPr>
        <w:t>②</w:t>
      </w:r>
      <w:r>
        <w:rPr>
          <w:rFonts w:ascii="Times New Roman" w:eastAsia="仿宋" w:hAnsi="Times New Roman"/>
          <w:color w:val="0D0D0D"/>
          <w:spacing w:val="2"/>
          <w:kern w:val="2"/>
          <w:sz w:val="32"/>
          <w:szCs w:val="32"/>
        </w:rPr>
        <w:t>中国是肺结核和糖尿病双重高负担国家，糖尿病是结核病患者常见的合并疾病，糖尿病影响结核患者</w:t>
      </w:r>
      <w:proofErr w:type="gramStart"/>
      <w:r>
        <w:rPr>
          <w:rFonts w:ascii="Times New Roman" w:eastAsia="仿宋" w:hAnsi="Times New Roman"/>
          <w:color w:val="0D0D0D"/>
          <w:spacing w:val="2"/>
          <w:kern w:val="2"/>
          <w:sz w:val="32"/>
          <w:szCs w:val="32"/>
        </w:rPr>
        <w:t>痰菌阴转速</w:t>
      </w:r>
      <w:proofErr w:type="gramEnd"/>
      <w:r>
        <w:rPr>
          <w:rFonts w:ascii="Times New Roman" w:eastAsia="仿宋" w:hAnsi="Times New Roman"/>
          <w:color w:val="0D0D0D"/>
          <w:spacing w:val="2"/>
          <w:kern w:val="2"/>
          <w:sz w:val="32"/>
          <w:szCs w:val="32"/>
        </w:rPr>
        <w:t>度、不良反应发生和治疗转归。贝达喹啉为治疗耐药结核病的优选药物之一，但国内外尚无含贝达喹啉的耐</w:t>
      </w:r>
      <w:proofErr w:type="gramStart"/>
      <w:r>
        <w:rPr>
          <w:rFonts w:ascii="Times New Roman" w:eastAsia="仿宋" w:hAnsi="Times New Roman"/>
          <w:color w:val="0D0D0D"/>
          <w:spacing w:val="2"/>
          <w:kern w:val="2"/>
          <w:sz w:val="32"/>
          <w:szCs w:val="32"/>
        </w:rPr>
        <w:t>药方案</w:t>
      </w:r>
      <w:proofErr w:type="gramEnd"/>
      <w:r>
        <w:rPr>
          <w:rFonts w:ascii="Times New Roman" w:eastAsia="仿宋" w:hAnsi="Times New Roman"/>
          <w:color w:val="0D0D0D"/>
          <w:spacing w:val="2"/>
          <w:kern w:val="2"/>
          <w:sz w:val="32"/>
          <w:szCs w:val="32"/>
        </w:rPr>
        <w:t>对合并糖尿病的</w:t>
      </w:r>
      <w:r>
        <w:rPr>
          <w:rFonts w:ascii="Times New Roman" w:eastAsia="仿宋" w:hAnsi="Times New Roman"/>
          <w:color w:val="0D0D0D"/>
          <w:spacing w:val="2"/>
          <w:kern w:val="2"/>
          <w:sz w:val="32"/>
          <w:szCs w:val="32"/>
        </w:rPr>
        <w:t>MDR/XDR-TB</w:t>
      </w:r>
      <w:r>
        <w:rPr>
          <w:rFonts w:ascii="Times New Roman" w:eastAsia="仿宋" w:hAnsi="Times New Roman"/>
          <w:color w:val="0D0D0D"/>
          <w:spacing w:val="2"/>
          <w:kern w:val="2"/>
          <w:sz w:val="32"/>
          <w:szCs w:val="32"/>
        </w:rPr>
        <w:t>患者的安全性和有效性报道。本项目还联合首都医科大学附属北京胸科医院、</w:t>
      </w:r>
      <w:proofErr w:type="gramStart"/>
      <w:r>
        <w:rPr>
          <w:rFonts w:ascii="Times New Roman" w:eastAsia="仿宋" w:hAnsi="Times New Roman"/>
          <w:color w:val="0D0D0D"/>
          <w:spacing w:val="2"/>
          <w:kern w:val="2"/>
          <w:sz w:val="32"/>
          <w:szCs w:val="32"/>
        </w:rPr>
        <w:t>中国疾控中心</w:t>
      </w:r>
      <w:proofErr w:type="gramEnd"/>
      <w:r>
        <w:rPr>
          <w:rFonts w:ascii="Times New Roman" w:eastAsia="仿宋" w:hAnsi="Times New Roman"/>
          <w:color w:val="0D0D0D"/>
          <w:spacing w:val="2"/>
          <w:kern w:val="2"/>
          <w:sz w:val="32"/>
          <w:szCs w:val="32"/>
        </w:rPr>
        <w:t>结核病防治临床中心进一步探讨了合并糖尿病患者使用</w:t>
      </w:r>
      <w:r>
        <w:rPr>
          <w:rFonts w:ascii="Times New Roman" w:eastAsia="仿宋" w:hAnsi="Times New Roman"/>
          <w:color w:val="0D0D0D"/>
          <w:spacing w:val="2"/>
          <w:kern w:val="2"/>
          <w:sz w:val="32"/>
          <w:szCs w:val="32"/>
        </w:rPr>
        <w:t>BDQ</w:t>
      </w:r>
      <w:r>
        <w:rPr>
          <w:rFonts w:ascii="Times New Roman" w:eastAsia="仿宋" w:hAnsi="Times New Roman"/>
          <w:color w:val="0D0D0D"/>
          <w:spacing w:val="2"/>
          <w:kern w:val="2"/>
          <w:sz w:val="32"/>
          <w:szCs w:val="32"/>
        </w:rPr>
        <w:t>是否可获得与非糖尿病患者同样满意疗效。纳入全国</w:t>
      </w:r>
      <w:r>
        <w:rPr>
          <w:rFonts w:ascii="Times New Roman" w:eastAsia="仿宋" w:hAnsi="Times New Roman"/>
          <w:color w:val="0D0D0D"/>
          <w:spacing w:val="2"/>
          <w:kern w:val="2"/>
          <w:sz w:val="32"/>
          <w:szCs w:val="32"/>
        </w:rPr>
        <w:t>21</w:t>
      </w:r>
      <w:r>
        <w:rPr>
          <w:rFonts w:ascii="Times New Roman" w:eastAsia="仿宋" w:hAnsi="Times New Roman"/>
          <w:color w:val="0D0D0D"/>
          <w:spacing w:val="2"/>
          <w:kern w:val="2"/>
          <w:sz w:val="32"/>
          <w:szCs w:val="32"/>
        </w:rPr>
        <w:t>家医院合并糖尿病的</w:t>
      </w:r>
      <w:r>
        <w:rPr>
          <w:rFonts w:ascii="Times New Roman" w:eastAsia="仿宋" w:hAnsi="Times New Roman"/>
          <w:color w:val="0D0D0D"/>
          <w:spacing w:val="2"/>
          <w:kern w:val="2"/>
          <w:sz w:val="32"/>
          <w:szCs w:val="32"/>
        </w:rPr>
        <w:t>MDR/XDR-TB</w:t>
      </w:r>
      <w:r>
        <w:rPr>
          <w:rFonts w:ascii="Times New Roman" w:eastAsia="仿宋" w:hAnsi="Times New Roman"/>
          <w:color w:val="0D0D0D"/>
          <w:spacing w:val="2"/>
          <w:kern w:val="2"/>
          <w:sz w:val="32"/>
          <w:szCs w:val="32"/>
        </w:rPr>
        <w:t>患者</w:t>
      </w:r>
      <w:r>
        <w:rPr>
          <w:rFonts w:ascii="Times New Roman" w:eastAsia="仿宋" w:hAnsi="Times New Roman"/>
          <w:color w:val="0D0D0D"/>
          <w:spacing w:val="2"/>
          <w:kern w:val="2"/>
          <w:sz w:val="32"/>
          <w:szCs w:val="32"/>
        </w:rPr>
        <w:t>107</w:t>
      </w:r>
      <w:r>
        <w:rPr>
          <w:rFonts w:ascii="Times New Roman" w:eastAsia="仿宋" w:hAnsi="Times New Roman"/>
          <w:color w:val="0D0D0D"/>
          <w:spacing w:val="2"/>
          <w:kern w:val="2"/>
          <w:sz w:val="32"/>
          <w:szCs w:val="32"/>
        </w:rPr>
        <w:t>例（糖尿病组），通过倾向性评分匹配</w:t>
      </w:r>
      <w:r>
        <w:rPr>
          <w:rFonts w:ascii="Times New Roman" w:eastAsia="仿宋" w:hAnsi="Times New Roman"/>
          <w:color w:val="0D0D0D"/>
          <w:spacing w:val="2"/>
          <w:kern w:val="2"/>
          <w:sz w:val="32"/>
          <w:szCs w:val="32"/>
        </w:rPr>
        <w:t>107</w:t>
      </w:r>
      <w:r>
        <w:rPr>
          <w:rFonts w:ascii="Times New Roman" w:eastAsia="仿宋" w:hAnsi="Times New Roman"/>
          <w:color w:val="0D0D0D"/>
          <w:spacing w:val="2"/>
          <w:kern w:val="2"/>
          <w:sz w:val="32"/>
          <w:szCs w:val="32"/>
        </w:rPr>
        <w:t>例未合并糖尿病的</w:t>
      </w:r>
      <w:r>
        <w:rPr>
          <w:rFonts w:ascii="Times New Roman" w:eastAsia="仿宋" w:hAnsi="Times New Roman"/>
          <w:color w:val="0D0D0D"/>
          <w:spacing w:val="2"/>
          <w:kern w:val="2"/>
          <w:sz w:val="32"/>
          <w:szCs w:val="32"/>
        </w:rPr>
        <w:t>MDR/XDR-TB</w:t>
      </w:r>
      <w:r>
        <w:rPr>
          <w:rFonts w:ascii="Times New Roman" w:eastAsia="仿宋" w:hAnsi="Times New Roman"/>
          <w:color w:val="0D0D0D"/>
          <w:spacing w:val="2"/>
          <w:kern w:val="2"/>
          <w:sz w:val="32"/>
          <w:szCs w:val="32"/>
        </w:rPr>
        <w:t>患者（非糖尿病组），比较两组患者痰菌阴转率、</w:t>
      </w:r>
      <w:proofErr w:type="gramStart"/>
      <w:r>
        <w:rPr>
          <w:rFonts w:ascii="Times New Roman" w:eastAsia="仿宋" w:hAnsi="Times New Roman"/>
          <w:color w:val="0D0D0D"/>
          <w:spacing w:val="2"/>
          <w:kern w:val="2"/>
          <w:sz w:val="32"/>
          <w:szCs w:val="32"/>
        </w:rPr>
        <w:t>痰菌阴转</w:t>
      </w:r>
      <w:proofErr w:type="gramEnd"/>
      <w:r>
        <w:rPr>
          <w:rFonts w:ascii="Times New Roman" w:eastAsia="仿宋" w:hAnsi="Times New Roman"/>
          <w:color w:val="0D0D0D"/>
          <w:spacing w:val="2"/>
          <w:kern w:val="2"/>
          <w:sz w:val="32"/>
          <w:szCs w:val="32"/>
        </w:rPr>
        <w:t>时间、</w:t>
      </w:r>
      <w:r>
        <w:rPr>
          <w:rFonts w:ascii="Times New Roman" w:eastAsia="仿宋" w:hAnsi="Times New Roman"/>
          <w:color w:val="0D0D0D"/>
          <w:spacing w:val="2"/>
          <w:kern w:val="2"/>
          <w:sz w:val="32"/>
          <w:szCs w:val="32"/>
        </w:rPr>
        <w:t>24</w:t>
      </w:r>
      <w:r>
        <w:rPr>
          <w:rFonts w:ascii="Times New Roman" w:eastAsia="仿宋" w:hAnsi="Times New Roman"/>
          <w:color w:val="0D0D0D"/>
          <w:spacing w:val="2"/>
          <w:kern w:val="2"/>
          <w:sz w:val="32"/>
          <w:szCs w:val="32"/>
        </w:rPr>
        <w:t>周末治疗转归和不良反应发生率，</w:t>
      </w:r>
      <w:r>
        <w:rPr>
          <w:rFonts w:ascii="Times New Roman" w:eastAsia="仿宋" w:hAnsi="Times New Roman" w:hint="eastAsia"/>
          <w:color w:val="0D0D0D"/>
          <w:spacing w:val="2"/>
          <w:kern w:val="2"/>
          <w:sz w:val="32"/>
          <w:szCs w:val="32"/>
        </w:rPr>
        <w:t>尽管合并糖尿病患者与未合并糖尿病患者在基线</w:t>
      </w:r>
      <w:r>
        <w:rPr>
          <w:rFonts w:ascii="Times New Roman" w:eastAsia="仿宋" w:hAnsi="Times New Roman" w:hint="eastAsia"/>
          <w:color w:val="0D0D0D"/>
          <w:spacing w:val="2"/>
          <w:kern w:val="2"/>
          <w:sz w:val="32"/>
          <w:szCs w:val="32"/>
        </w:rPr>
        <w:lastRenderedPageBreak/>
        <w:t>特征上存在差异，但使用含贝达喹啉的耐</w:t>
      </w:r>
      <w:proofErr w:type="gramStart"/>
      <w:r>
        <w:rPr>
          <w:rFonts w:ascii="Times New Roman" w:eastAsia="仿宋" w:hAnsi="Times New Roman" w:hint="eastAsia"/>
          <w:color w:val="0D0D0D"/>
          <w:spacing w:val="2"/>
          <w:kern w:val="2"/>
          <w:sz w:val="32"/>
          <w:szCs w:val="32"/>
        </w:rPr>
        <w:t>药方案治疗</w:t>
      </w:r>
      <w:proofErr w:type="gramEnd"/>
      <w:r>
        <w:rPr>
          <w:rFonts w:ascii="Times New Roman" w:eastAsia="仿宋" w:hAnsi="Times New Roman" w:hint="eastAsia"/>
          <w:color w:val="0D0D0D"/>
          <w:spacing w:val="2"/>
          <w:kern w:val="2"/>
          <w:sz w:val="32"/>
          <w:szCs w:val="32"/>
        </w:rPr>
        <w:t>24</w:t>
      </w:r>
      <w:r>
        <w:rPr>
          <w:rFonts w:ascii="Times New Roman" w:eastAsia="仿宋" w:hAnsi="Times New Roman" w:hint="eastAsia"/>
          <w:color w:val="0D0D0D"/>
          <w:spacing w:val="2"/>
          <w:kern w:val="2"/>
          <w:sz w:val="32"/>
          <w:szCs w:val="32"/>
        </w:rPr>
        <w:t>周后，合并糖尿病的</w:t>
      </w:r>
      <w:r>
        <w:rPr>
          <w:rFonts w:ascii="Times New Roman" w:eastAsia="仿宋" w:hAnsi="Times New Roman"/>
          <w:color w:val="0D0D0D"/>
          <w:spacing w:val="2"/>
          <w:kern w:val="2"/>
          <w:sz w:val="32"/>
          <w:szCs w:val="32"/>
        </w:rPr>
        <w:t>MDR/XDR-TB</w:t>
      </w:r>
      <w:r>
        <w:rPr>
          <w:rFonts w:ascii="Times New Roman" w:eastAsia="仿宋" w:hAnsi="Times New Roman" w:hint="eastAsia"/>
          <w:color w:val="0D0D0D"/>
          <w:spacing w:val="2"/>
          <w:kern w:val="2"/>
          <w:sz w:val="32"/>
          <w:szCs w:val="32"/>
        </w:rPr>
        <w:t>患者与未合并糖尿病患者相比，可获得同样理想的痰</w:t>
      </w:r>
      <w:proofErr w:type="gramStart"/>
      <w:r>
        <w:rPr>
          <w:rFonts w:ascii="Times New Roman" w:eastAsia="仿宋" w:hAnsi="Times New Roman" w:hint="eastAsia"/>
          <w:color w:val="0D0D0D"/>
          <w:spacing w:val="2"/>
          <w:kern w:val="2"/>
          <w:sz w:val="32"/>
          <w:szCs w:val="32"/>
        </w:rPr>
        <w:t>菌阴转指标</w:t>
      </w:r>
      <w:proofErr w:type="gramEnd"/>
      <w:r>
        <w:rPr>
          <w:rFonts w:ascii="Times New Roman" w:eastAsia="仿宋" w:hAnsi="Times New Roman" w:hint="eastAsia"/>
          <w:color w:val="0D0D0D"/>
          <w:spacing w:val="2"/>
          <w:kern w:val="2"/>
          <w:sz w:val="32"/>
          <w:szCs w:val="32"/>
        </w:rPr>
        <w:t>和良好的治疗转归，且安全性相当。</w:t>
      </w:r>
      <w:r>
        <w:rPr>
          <w:rFonts w:eastAsia="仿宋" w:cs="Calibri"/>
          <w:color w:val="0D0D0D"/>
          <w:spacing w:val="2"/>
          <w:kern w:val="2"/>
          <w:sz w:val="32"/>
          <w:szCs w:val="32"/>
        </w:rPr>
        <w:t>③</w:t>
      </w:r>
      <w:r>
        <w:rPr>
          <w:rFonts w:eastAsia="仿宋" w:cs="Calibri"/>
          <w:color w:val="0D0D0D"/>
          <w:spacing w:val="2"/>
          <w:kern w:val="2"/>
          <w:sz w:val="32"/>
          <w:szCs w:val="32"/>
        </w:rPr>
        <w:t>在</w:t>
      </w:r>
      <w:r>
        <w:rPr>
          <w:rFonts w:eastAsia="仿宋" w:cs="Calibri"/>
          <w:color w:val="0D0D0D"/>
          <w:spacing w:val="2"/>
          <w:kern w:val="2"/>
          <w:sz w:val="32"/>
          <w:szCs w:val="32"/>
        </w:rPr>
        <w:t>BDQ IIb</w:t>
      </w:r>
      <w:proofErr w:type="gramStart"/>
      <w:r>
        <w:rPr>
          <w:rFonts w:eastAsia="仿宋" w:cs="Calibri"/>
          <w:color w:val="0D0D0D"/>
          <w:spacing w:val="2"/>
          <w:kern w:val="2"/>
          <w:sz w:val="32"/>
          <w:szCs w:val="32"/>
        </w:rPr>
        <w:t>期试验</w:t>
      </w:r>
      <w:proofErr w:type="gramEnd"/>
      <w:r>
        <w:rPr>
          <w:rFonts w:eastAsia="仿宋" w:cs="Calibri"/>
          <w:color w:val="0D0D0D"/>
          <w:spacing w:val="2"/>
          <w:kern w:val="2"/>
          <w:sz w:val="32"/>
          <w:szCs w:val="32"/>
        </w:rPr>
        <w:t>中，</w:t>
      </w:r>
      <w:r>
        <w:rPr>
          <w:rFonts w:eastAsia="仿宋" w:cs="Calibri"/>
          <w:color w:val="0D0D0D"/>
          <w:spacing w:val="2"/>
          <w:kern w:val="2"/>
          <w:sz w:val="32"/>
          <w:szCs w:val="32"/>
        </w:rPr>
        <w:t>BDQ</w:t>
      </w:r>
      <w:r>
        <w:rPr>
          <w:rFonts w:eastAsia="仿宋" w:cs="Calibri"/>
          <w:color w:val="0D0D0D"/>
          <w:spacing w:val="2"/>
          <w:kern w:val="2"/>
          <w:sz w:val="32"/>
          <w:szCs w:val="32"/>
        </w:rPr>
        <w:t>组患者的全因死亡率高于对照组，因此对使用</w:t>
      </w:r>
      <w:r>
        <w:rPr>
          <w:rFonts w:eastAsia="仿宋" w:cs="Calibri"/>
          <w:color w:val="0D0D0D"/>
          <w:spacing w:val="2"/>
          <w:kern w:val="2"/>
          <w:sz w:val="32"/>
          <w:szCs w:val="32"/>
        </w:rPr>
        <w:t>BDQ</w:t>
      </w:r>
      <w:r>
        <w:rPr>
          <w:rFonts w:eastAsia="仿宋" w:cs="Calibri"/>
          <w:color w:val="0D0D0D"/>
          <w:spacing w:val="2"/>
          <w:kern w:val="2"/>
          <w:sz w:val="32"/>
          <w:szCs w:val="32"/>
        </w:rPr>
        <w:t>安全性的担忧伴随</w:t>
      </w:r>
      <w:r>
        <w:rPr>
          <w:rFonts w:eastAsia="仿宋" w:cs="Calibri"/>
          <w:color w:val="0D0D0D"/>
          <w:spacing w:val="2"/>
          <w:kern w:val="2"/>
          <w:sz w:val="32"/>
          <w:szCs w:val="32"/>
        </w:rPr>
        <w:t>BDQ</w:t>
      </w:r>
      <w:r>
        <w:rPr>
          <w:rFonts w:eastAsia="仿宋" w:cs="Calibri"/>
          <w:color w:val="0D0D0D"/>
          <w:spacing w:val="2"/>
          <w:kern w:val="2"/>
          <w:sz w:val="32"/>
          <w:szCs w:val="32"/>
        </w:rPr>
        <w:t>治疗全过程。导致</w:t>
      </w:r>
      <w:r>
        <w:rPr>
          <w:rFonts w:eastAsia="仿宋" w:cs="Calibri"/>
          <w:color w:val="0D0D0D"/>
          <w:spacing w:val="2"/>
          <w:kern w:val="2"/>
          <w:sz w:val="32"/>
          <w:szCs w:val="32"/>
        </w:rPr>
        <w:t>QT</w:t>
      </w:r>
      <w:r>
        <w:rPr>
          <w:rFonts w:eastAsia="仿宋" w:cs="Calibri"/>
          <w:color w:val="0D0D0D"/>
          <w:spacing w:val="2"/>
          <w:kern w:val="2"/>
          <w:sz w:val="32"/>
          <w:szCs w:val="32"/>
        </w:rPr>
        <w:t>间期延长是</w:t>
      </w:r>
      <w:r>
        <w:rPr>
          <w:rFonts w:eastAsia="仿宋" w:cs="Calibri"/>
          <w:color w:val="0D0D0D"/>
          <w:spacing w:val="2"/>
          <w:kern w:val="2"/>
          <w:sz w:val="32"/>
          <w:szCs w:val="32"/>
        </w:rPr>
        <w:t>BDQ</w:t>
      </w:r>
      <w:r>
        <w:rPr>
          <w:rFonts w:eastAsia="仿宋" w:cs="Calibri"/>
          <w:color w:val="0D0D0D"/>
          <w:spacing w:val="2"/>
          <w:kern w:val="2"/>
          <w:sz w:val="32"/>
          <w:szCs w:val="32"/>
        </w:rPr>
        <w:t>最常见和最主要的不良反应。与其它研究结果一样，与</w:t>
      </w:r>
      <w:r>
        <w:rPr>
          <w:rFonts w:eastAsia="仿宋" w:cs="Calibri"/>
          <w:color w:val="0D0D0D"/>
          <w:spacing w:val="2"/>
          <w:kern w:val="2"/>
          <w:sz w:val="32"/>
          <w:szCs w:val="32"/>
        </w:rPr>
        <w:t>BDQ</w:t>
      </w:r>
      <w:r>
        <w:rPr>
          <w:rFonts w:eastAsia="仿宋" w:cs="Calibri"/>
          <w:color w:val="0D0D0D"/>
          <w:spacing w:val="2"/>
          <w:kern w:val="2"/>
          <w:sz w:val="32"/>
          <w:szCs w:val="32"/>
        </w:rPr>
        <w:t>相关的</w:t>
      </w:r>
      <w:r>
        <w:rPr>
          <w:rFonts w:eastAsia="仿宋" w:cs="Calibri"/>
          <w:color w:val="0D0D0D"/>
          <w:spacing w:val="2"/>
          <w:kern w:val="2"/>
          <w:sz w:val="32"/>
          <w:szCs w:val="32"/>
        </w:rPr>
        <w:t>QT</w:t>
      </w:r>
      <w:r>
        <w:rPr>
          <w:rFonts w:eastAsia="仿宋" w:cs="Calibri"/>
          <w:color w:val="0D0D0D"/>
          <w:spacing w:val="2"/>
          <w:kern w:val="2"/>
          <w:sz w:val="32"/>
          <w:szCs w:val="32"/>
        </w:rPr>
        <w:t>间期延长在本队列研究中也最为常见。然而，本研究患者背景方案中同时使用了可导致</w:t>
      </w:r>
      <w:r>
        <w:rPr>
          <w:rFonts w:eastAsia="仿宋" w:cs="Calibri"/>
          <w:color w:val="0D0D0D"/>
          <w:spacing w:val="2"/>
          <w:kern w:val="2"/>
          <w:sz w:val="32"/>
          <w:szCs w:val="32"/>
        </w:rPr>
        <w:t>QT</w:t>
      </w:r>
      <w:r>
        <w:rPr>
          <w:rFonts w:eastAsia="仿宋" w:cs="Calibri"/>
          <w:color w:val="0D0D0D"/>
          <w:spacing w:val="2"/>
          <w:kern w:val="2"/>
          <w:sz w:val="32"/>
          <w:szCs w:val="32"/>
        </w:rPr>
        <w:t>间期延长的药物如莫西沙星和氯法齐明比率较高，故无法全面评估单用</w:t>
      </w:r>
      <w:r>
        <w:rPr>
          <w:rFonts w:eastAsia="仿宋" w:cs="Calibri"/>
          <w:color w:val="0D0D0D"/>
          <w:spacing w:val="2"/>
          <w:kern w:val="2"/>
          <w:sz w:val="32"/>
          <w:szCs w:val="32"/>
        </w:rPr>
        <w:t>BDQ</w:t>
      </w:r>
      <w:r>
        <w:rPr>
          <w:rFonts w:eastAsia="仿宋" w:cs="Calibri"/>
          <w:color w:val="0D0D0D"/>
          <w:spacing w:val="2"/>
          <w:kern w:val="2"/>
          <w:sz w:val="32"/>
          <w:szCs w:val="32"/>
        </w:rPr>
        <w:t>对</w:t>
      </w:r>
      <w:r>
        <w:rPr>
          <w:rFonts w:eastAsia="仿宋" w:cs="Calibri"/>
          <w:color w:val="0D0D0D"/>
          <w:spacing w:val="2"/>
          <w:kern w:val="2"/>
          <w:sz w:val="32"/>
          <w:szCs w:val="32"/>
        </w:rPr>
        <w:t>QT</w:t>
      </w:r>
      <w:r>
        <w:rPr>
          <w:rFonts w:eastAsia="仿宋" w:cs="Calibri"/>
          <w:color w:val="0D0D0D"/>
          <w:spacing w:val="2"/>
          <w:kern w:val="2"/>
          <w:sz w:val="32"/>
          <w:szCs w:val="32"/>
        </w:rPr>
        <w:t>间期延长的影响。我们进一步分析了背景方案中使用上述两种药物的患者的</w:t>
      </w:r>
      <w:r>
        <w:rPr>
          <w:rFonts w:eastAsia="仿宋" w:cs="Calibri"/>
          <w:color w:val="0D0D0D"/>
          <w:spacing w:val="2"/>
          <w:kern w:val="2"/>
          <w:sz w:val="32"/>
          <w:szCs w:val="32"/>
        </w:rPr>
        <w:t>QT</w:t>
      </w:r>
      <w:r>
        <w:rPr>
          <w:rFonts w:eastAsia="仿宋" w:cs="Calibri"/>
          <w:color w:val="0D0D0D"/>
          <w:spacing w:val="2"/>
          <w:kern w:val="2"/>
          <w:sz w:val="32"/>
          <w:szCs w:val="32"/>
        </w:rPr>
        <w:t>间期变化。我们的研究结果显示，与</w:t>
      </w:r>
      <w:r>
        <w:rPr>
          <w:rFonts w:eastAsia="仿宋" w:cs="Calibri"/>
          <w:color w:val="0D0D0D"/>
          <w:spacing w:val="2"/>
          <w:kern w:val="2"/>
          <w:sz w:val="32"/>
          <w:szCs w:val="32"/>
        </w:rPr>
        <w:t xml:space="preserve"> BDQ-</w:t>
      </w:r>
      <w:r>
        <w:rPr>
          <w:rFonts w:eastAsia="仿宋" w:cs="Calibri"/>
          <w:color w:val="0D0D0D"/>
          <w:spacing w:val="2"/>
          <w:kern w:val="2"/>
          <w:sz w:val="32"/>
          <w:szCs w:val="32"/>
        </w:rPr>
        <w:t>莫西沙星</w:t>
      </w:r>
      <w:r>
        <w:rPr>
          <w:rFonts w:eastAsia="仿宋" w:cs="Calibri"/>
          <w:color w:val="0D0D0D"/>
          <w:spacing w:val="2"/>
          <w:kern w:val="2"/>
          <w:sz w:val="32"/>
          <w:szCs w:val="32"/>
        </w:rPr>
        <w:t>-</w:t>
      </w:r>
      <w:r>
        <w:rPr>
          <w:rFonts w:eastAsia="仿宋" w:cs="Calibri"/>
          <w:color w:val="0D0D0D"/>
          <w:spacing w:val="2"/>
          <w:kern w:val="2"/>
          <w:sz w:val="32"/>
          <w:szCs w:val="32"/>
        </w:rPr>
        <w:t>氯法齐明组和</w:t>
      </w:r>
      <w:r>
        <w:rPr>
          <w:rFonts w:eastAsia="仿宋" w:cs="Calibri"/>
          <w:color w:val="0D0D0D"/>
          <w:spacing w:val="2"/>
          <w:kern w:val="2"/>
          <w:sz w:val="32"/>
          <w:szCs w:val="32"/>
        </w:rPr>
        <w:t>BDQ-</w:t>
      </w:r>
      <w:r>
        <w:rPr>
          <w:rFonts w:eastAsia="仿宋" w:cs="Calibri"/>
          <w:color w:val="0D0D0D"/>
          <w:spacing w:val="2"/>
          <w:kern w:val="2"/>
          <w:sz w:val="32"/>
          <w:szCs w:val="32"/>
        </w:rPr>
        <w:t>氯法齐明组患者比较，</w:t>
      </w:r>
      <w:r>
        <w:rPr>
          <w:rFonts w:eastAsia="仿宋" w:cs="Calibri"/>
          <w:color w:val="0D0D0D"/>
          <w:spacing w:val="2"/>
          <w:kern w:val="2"/>
          <w:sz w:val="32"/>
          <w:szCs w:val="32"/>
        </w:rPr>
        <w:t>BDQ-</w:t>
      </w:r>
      <w:r>
        <w:rPr>
          <w:rFonts w:eastAsia="仿宋" w:cs="Calibri"/>
          <w:color w:val="0D0D0D"/>
          <w:spacing w:val="2"/>
          <w:kern w:val="2"/>
          <w:sz w:val="32"/>
          <w:szCs w:val="32"/>
        </w:rPr>
        <w:t>莫西沙星组患者发生</w:t>
      </w:r>
      <w:r>
        <w:rPr>
          <w:rFonts w:eastAsia="仿宋" w:cs="Calibri"/>
          <w:color w:val="0D0D0D"/>
          <w:spacing w:val="2"/>
          <w:kern w:val="2"/>
          <w:sz w:val="32"/>
          <w:szCs w:val="32"/>
        </w:rPr>
        <w:t>3</w:t>
      </w:r>
      <w:r>
        <w:rPr>
          <w:rFonts w:eastAsia="仿宋" w:cs="Calibri"/>
          <w:color w:val="0D0D0D"/>
          <w:spacing w:val="2"/>
          <w:kern w:val="2"/>
          <w:sz w:val="32"/>
          <w:szCs w:val="32"/>
        </w:rPr>
        <w:t>级及以上</w:t>
      </w:r>
      <w:r>
        <w:rPr>
          <w:rFonts w:eastAsia="仿宋" w:cs="Calibri"/>
          <w:color w:val="0D0D0D"/>
          <w:spacing w:val="2"/>
          <w:kern w:val="2"/>
          <w:sz w:val="32"/>
          <w:szCs w:val="32"/>
        </w:rPr>
        <w:t>QT</w:t>
      </w:r>
      <w:r>
        <w:rPr>
          <w:rFonts w:eastAsia="仿宋" w:cs="Calibri"/>
          <w:color w:val="0D0D0D"/>
          <w:spacing w:val="2"/>
          <w:kern w:val="2"/>
          <w:sz w:val="32"/>
          <w:szCs w:val="32"/>
        </w:rPr>
        <w:t>间期延长的</w:t>
      </w:r>
      <w:r>
        <w:rPr>
          <w:rFonts w:eastAsia="仿宋" w:cs="Calibri"/>
          <w:color w:val="0D0D0D"/>
          <w:spacing w:val="2"/>
          <w:kern w:val="2"/>
          <w:sz w:val="32"/>
          <w:szCs w:val="32"/>
        </w:rPr>
        <w:t>AE</w:t>
      </w:r>
      <w:r>
        <w:rPr>
          <w:rFonts w:eastAsia="仿宋" w:cs="Calibri"/>
          <w:color w:val="0D0D0D"/>
          <w:spacing w:val="2"/>
          <w:kern w:val="2"/>
          <w:sz w:val="32"/>
          <w:szCs w:val="32"/>
        </w:rPr>
        <w:t>次数较其他两组患者无明显差别，安全性在可接受范围。因此，为提高患者治愈率，经患者</w:t>
      </w:r>
      <w:r>
        <w:rPr>
          <w:rFonts w:eastAsia="仿宋" w:cs="Calibri"/>
          <w:color w:val="0D0D0D"/>
          <w:spacing w:val="2"/>
          <w:kern w:val="2"/>
          <w:sz w:val="32"/>
          <w:szCs w:val="32"/>
        </w:rPr>
        <w:t>QT</w:t>
      </w:r>
      <w:r>
        <w:rPr>
          <w:rFonts w:eastAsia="仿宋" w:cs="Calibri"/>
          <w:color w:val="0D0D0D"/>
          <w:spacing w:val="2"/>
          <w:kern w:val="2"/>
          <w:sz w:val="32"/>
          <w:szCs w:val="32"/>
        </w:rPr>
        <w:t>间期延长风险评估后，在密切监测患者</w:t>
      </w:r>
      <w:r>
        <w:rPr>
          <w:rFonts w:eastAsia="仿宋" w:cs="Calibri"/>
          <w:color w:val="0D0D0D"/>
          <w:spacing w:val="2"/>
          <w:kern w:val="2"/>
          <w:sz w:val="32"/>
          <w:szCs w:val="32"/>
        </w:rPr>
        <w:t>QT</w:t>
      </w:r>
      <w:r>
        <w:rPr>
          <w:rFonts w:eastAsia="仿宋" w:cs="Calibri"/>
          <w:color w:val="0D0D0D"/>
          <w:spacing w:val="2"/>
          <w:kern w:val="2"/>
          <w:sz w:val="32"/>
          <w:szCs w:val="32"/>
        </w:rPr>
        <w:t>间期情况下，是否应推荐莫西沙星与</w:t>
      </w:r>
      <w:r>
        <w:rPr>
          <w:rFonts w:eastAsia="仿宋" w:cs="Calibri"/>
          <w:color w:val="0D0D0D"/>
          <w:spacing w:val="2"/>
          <w:kern w:val="2"/>
          <w:sz w:val="32"/>
          <w:szCs w:val="32"/>
        </w:rPr>
        <w:t>BDQ</w:t>
      </w:r>
      <w:r>
        <w:rPr>
          <w:rFonts w:eastAsia="仿宋" w:cs="Calibri"/>
          <w:color w:val="0D0D0D"/>
          <w:spacing w:val="2"/>
          <w:kern w:val="2"/>
          <w:sz w:val="32"/>
          <w:szCs w:val="32"/>
        </w:rPr>
        <w:t>联合使用，而不是左氧氟沙星。</w:t>
      </w:r>
    </w:p>
    <w:p w14:paraId="4110B766" w14:textId="77777777" w:rsidR="00AC2315" w:rsidRDefault="00000000">
      <w:pPr>
        <w:pStyle w:val="a8"/>
        <w:widowControl/>
        <w:spacing w:before="75" w:beforeAutospacing="0" w:after="75" w:afterAutospacing="0"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依托本项目，本团队联合首都医科大学附属北京胸科医院、</w:t>
      </w:r>
      <w:proofErr w:type="gramStart"/>
      <w:r>
        <w:rPr>
          <w:rFonts w:ascii="Times New Roman" w:eastAsia="仿宋" w:hAnsi="Times New Roman" w:hint="eastAsia"/>
          <w:sz w:val="32"/>
          <w:szCs w:val="32"/>
        </w:rPr>
        <w:t>中国疾控中心</w:t>
      </w:r>
      <w:proofErr w:type="gramEnd"/>
      <w:r>
        <w:rPr>
          <w:rFonts w:ascii="Times New Roman" w:eastAsia="仿宋" w:hAnsi="Times New Roman" w:hint="eastAsia"/>
          <w:sz w:val="32"/>
          <w:szCs w:val="32"/>
        </w:rPr>
        <w:t>结核病防治临床中心等，目前已在国内外知名学术期刊发表论文</w:t>
      </w:r>
      <w:r>
        <w:rPr>
          <w:rFonts w:ascii="Times New Roman" w:eastAsia="仿宋" w:hAnsi="Times New Roman" w:hint="eastAsia"/>
          <w:sz w:val="32"/>
          <w:szCs w:val="32"/>
        </w:rPr>
        <w:t>7</w:t>
      </w:r>
      <w:r>
        <w:rPr>
          <w:rFonts w:ascii="Times New Roman" w:eastAsia="仿宋" w:hAnsi="Times New Roman" w:hint="eastAsia"/>
          <w:sz w:val="32"/>
          <w:szCs w:val="32"/>
        </w:rPr>
        <w:t>篇，受到同行的高度认可。</w:t>
      </w:r>
    </w:p>
    <w:p w14:paraId="3CFC91B9" w14:textId="77777777" w:rsidR="00AC2315" w:rsidRDefault="00000000">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4.2</w:t>
      </w:r>
      <w:r>
        <w:rPr>
          <w:rFonts w:ascii="Times New Roman" w:eastAsia="仿宋" w:hAnsi="Times New Roman"/>
          <w:sz w:val="32"/>
          <w:szCs w:val="32"/>
        </w:rPr>
        <w:t>科学创新点与科学价值</w:t>
      </w:r>
      <w:r>
        <w:rPr>
          <w:rFonts w:ascii="Times New Roman" w:eastAsia="仿宋" w:hAnsi="Times New Roman"/>
          <w:b/>
          <w:bCs/>
          <w:sz w:val="32"/>
          <w:szCs w:val="32"/>
        </w:rPr>
        <w:t>：</w:t>
      </w:r>
    </w:p>
    <w:p w14:paraId="17A8145C" w14:textId="77777777" w:rsidR="00AC2315" w:rsidRDefault="00000000">
      <w:pPr>
        <w:pStyle w:val="a8"/>
        <w:widowControl/>
        <w:spacing w:before="75" w:beforeAutospacing="0" w:after="75" w:afterAutospacing="0" w:line="640" w:lineRule="exact"/>
        <w:ind w:firstLineChars="200" w:firstLine="640"/>
        <w:rPr>
          <w:rFonts w:ascii="Times New Roman" w:eastAsia="仿宋" w:hAnsi="Times New Roman"/>
          <w:sz w:val="32"/>
          <w:szCs w:val="32"/>
        </w:rPr>
      </w:pPr>
      <w:r>
        <w:rPr>
          <w:rFonts w:ascii="Times New Roman" w:eastAsia="仿宋" w:hAnsi="Times New Roman"/>
          <w:sz w:val="32"/>
          <w:szCs w:val="32"/>
        </w:rPr>
        <w:t>①</w:t>
      </w:r>
      <w:r>
        <w:rPr>
          <w:rFonts w:ascii="Times New Roman" w:eastAsia="仿宋" w:hAnsi="Times New Roman" w:hint="eastAsia"/>
          <w:sz w:val="32"/>
          <w:szCs w:val="32"/>
        </w:rPr>
        <w:t xml:space="preserve"> </w:t>
      </w:r>
      <w:r>
        <w:rPr>
          <w:rFonts w:ascii="Times New Roman" w:eastAsia="仿宋" w:hAnsi="Times New Roman"/>
          <w:sz w:val="32"/>
          <w:szCs w:val="32"/>
        </w:rPr>
        <w:t>BDQ</w:t>
      </w:r>
      <w:r>
        <w:rPr>
          <w:rFonts w:ascii="Times New Roman" w:eastAsia="仿宋" w:hAnsi="Times New Roman" w:hint="eastAsia"/>
          <w:sz w:val="32"/>
          <w:szCs w:val="32"/>
        </w:rPr>
        <w:t>引入中国的时间较晚，国内探讨含</w:t>
      </w:r>
      <w:r>
        <w:rPr>
          <w:rFonts w:ascii="Times New Roman" w:eastAsia="仿宋" w:hAnsi="Times New Roman"/>
          <w:sz w:val="32"/>
          <w:szCs w:val="32"/>
        </w:rPr>
        <w:t>BDQ</w:t>
      </w:r>
      <w:r>
        <w:rPr>
          <w:rFonts w:ascii="Times New Roman" w:eastAsia="仿宋" w:hAnsi="Times New Roman" w:hint="eastAsia"/>
          <w:sz w:val="32"/>
          <w:szCs w:val="32"/>
        </w:rPr>
        <w:t>方案的有效性和安全性研究罕见。本研究为国内最早探讨</w:t>
      </w:r>
      <w:r>
        <w:rPr>
          <w:rFonts w:ascii="Times New Roman" w:eastAsia="仿宋" w:hAnsi="Times New Roman"/>
          <w:sz w:val="32"/>
          <w:szCs w:val="32"/>
        </w:rPr>
        <w:t>BDQ</w:t>
      </w:r>
      <w:r>
        <w:rPr>
          <w:rFonts w:ascii="Times New Roman" w:eastAsia="仿宋" w:hAnsi="Times New Roman" w:hint="eastAsia"/>
          <w:sz w:val="32"/>
          <w:szCs w:val="32"/>
        </w:rPr>
        <w:t>治疗中国</w:t>
      </w:r>
      <w:r>
        <w:rPr>
          <w:rFonts w:ascii="Times New Roman" w:eastAsia="仿宋" w:hAnsi="Times New Roman"/>
          <w:sz w:val="32"/>
          <w:szCs w:val="32"/>
        </w:rPr>
        <w:t>MDR-TB</w:t>
      </w:r>
      <w:r>
        <w:rPr>
          <w:rFonts w:ascii="Times New Roman" w:eastAsia="仿宋" w:hAnsi="Times New Roman" w:hint="eastAsia"/>
          <w:sz w:val="32"/>
          <w:szCs w:val="32"/>
        </w:rPr>
        <w:t>的临床研究之一。本研究结果提示，与国内既往</w:t>
      </w:r>
      <w:r>
        <w:rPr>
          <w:rFonts w:ascii="Times New Roman" w:eastAsia="仿宋" w:hAnsi="Times New Roman"/>
          <w:sz w:val="32"/>
          <w:szCs w:val="32"/>
        </w:rPr>
        <w:t>MDR-TB</w:t>
      </w:r>
      <w:r>
        <w:rPr>
          <w:rFonts w:ascii="Times New Roman" w:eastAsia="仿宋" w:hAnsi="Times New Roman" w:hint="eastAsia"/>
          <w:sz w:val="32"/>
          <w:szCs w:val="32"/>
        </w:rPr>
        <w:t>治疗方案相比，含</w:t>
      </w:r>
      <w:r>
        <w:rPr>
          <w:rFonts w:ascii="Times New Roman" w:eastAsia="仿宋" w:hAnsi="Times New Roman"/>
          <w:sz w:val="32"/>
          <w:szCs w:val="32"/>
        </w:rPr>
        <w:t>BDQ</w:t>
      </w:r>
      <w:r>
        <w:rPr>
          <w:rFonts w:ascii="Times New Roman" w:eastAsia="仿宋" w:hAnsi="Times New Roman" w:hint="eastAsia"/>
          <w:sz w:val="32"/>
          <w:szCs w:val="32"/>
        </w:rPr>
        <w:t>方案可显著提高患者</w:t>
      </w:r>
      <w:r>
        <w:rPr>
          <w:rFonts w:ascii="Times New Roman" w:eastAsia="仿宋" w:hAnsi="Times New Roman"/>
          <w:sz w:val="32"/>
          <w:szCs w:val="32"/>
        </w:rPr>
        <w:t>24</w:t>
      </w:r>
      <w:r>
        <w:rPr>
          <w:rFonts w:ascii="Times New Roman" w:eastAsia="仿宋" w:hAnsi="Times New Roman" w:hint="eastAsia"/>
          <w:sz w:val="32"/>
          <w:szCs w:val="32"/>
        </w:rPr>
        <w:t>周痰菌阴转率和空洞闭合率，在安全性方面需重视</w:t>
      </w:r>
      <w:r>
        <w:rPr>
          <w:rFonts w:ascii="Times New Roman" w:eastAsia="仿宋" w:hAnsi="Times New Roman"/>
          <w:sz w:val="32"/>
          <w:szCs w:val="32"/>
        </w:rPr>
        <w:t>QTc</w:t>
      </w:r>
      <w:r>
        <w:rPr>
          <w:rFonts w:ascii="Times New Roman" w:eastAsia="仿宋" w:hAnsi="Times New Roman" w:hint="eastAsia"/>
          <w:sz w:val="32"/>
          <w:szCs w:val="32"/>
        </w:rPr>
        <w:t>间期监测，为中国</w:t>
      </w:r>
      <w:r>
        <w:rPr>
          <w:rFonts w:ascii="Times New Roman" w:eastAsia="仿宋" w:hAnsi="Times New Roman"/>
          <w:sz w:val="32"/>
          <w:szCs w:val="32"/>
        </w:rPr>
        <w:t>MDR-TB</w:t>
      </w:r>
      <w:r>
        <w:rPr>
          <w:rFonts w:ascii="Times New Roman" w:eastAsia="仿宋" w:hAnsi="Times New Roman" w:hint="eastAsia"/>
          <w:sz w:val="32"/>
          <w:szCs w:val="32"/>
        </w:rPr>
        <w:t>患者使用</w:t>
      </w:r>
      <w:r>
        <w:rPr>
          <w:rFonts w:ascii="Times New Roman" w:eastAsia="仿宋" w:hAnsi="Times New Roman"/>
          <w:sz w:val="32"/>
          <w:szCs w:val="32"/>
        </w:rPr>
        <w:t>BDQ</w:t>
      </w:r>
      <w:r>
        <w:rPr>
          <w:rFonts w:ascii="Times New Roman" w:eastAsia="仿宋" w:hAnsi="Times New Roman" w:hint="eastAsia"/>
          <w:sz w:val="32"/>
          <w:szCs w:val="32"/>
        </w:rPr>
        <w:t>提供了科学依据，值得临床推广运用。</w:t>
      </w:r>
    </w:p>
    <w:p w14:paraId="49A5DBEF" w14:textId="77777777" w:rsidR="00AC2315" w:rsidRDefault="00000000">
      <w:pPr>
        <w:pStyle w:val="a8"/>
        <w:widowControl/>
        <w:spacing w:before="75" w:beforeAutospacing="0" w:after="75" w:afterAutospacing="0" w:line="640" w:lineRule="exact"/>
        <w:ind w:firstLineChars="200" w:firstLine="640"/>
        <w:rPr>
          <w:rFonts w:ascii="Times New Roman" w:eastAsia="仿宋" w:hAnsi="Times New Roman"/>
          <w:sz w:val="32"/>
          <w:szCs w:val="32"/>
        </w:rPr>
      </w:pPr>
      <w:r>
        <w:rPr>
          <w:rFonts w:ascii="Times New Roman" w:eastAsia="仿宋" w:hAnsi="Times New Roman"/>
          <w:sz w:val="32"/>
          <w:szCs w:val="32"/>
        </w:rPr>
        <w:t>②</w:t>
      </w:r>
      <w:r>
        <w:rPr>
          <w:rFonts w:ascii="Times New Roman" w:eastAsia="仿宋" w:hAnsi="Times New Roman" w:hint="eastAsia"/>
          <w:sz w:val="32"/>
          <w:szCs w:val="32"/>
        </w:rPr>
        <w:t xml:space="preserve"> </w:t>
      </w:r>
      <w:r>
        <w:rPr>
          <w:rFonts w:ascii="Times New Roman" w:eastAsia="仿宋" w:hAnsi="Times New Roman" w:hint="eastAsia"/>
          <w:sz w:val="32"/>
          <w:szCs w:val="32"/>
        </w:rPr>
        <w:t>糖尿病是肺结核发生、发展的高危因素，合并糖尿病的非结核患者治疗效果差，不良反应更多，复发率更高。本项目首次探讨了合并</w:t>
      </w:r>
      <w:r>
        <w:rPr>
          <w:rFonts w:ascii="Times New Roman" w:eastAsia="仿宋" w:hAnsi="Times New Roman"/>
          <w:sz w:val="32"/>
          <w:szCs w:val="32"/>
        </w:rPr>
        <w:t>2</w:t>
      </w:r>
      <w:r>
        <w:rPr>
          <w:rFonts w:ascii="Times New Roman" w:eastAsia="仿宋" w:hAnsi="Times New Roman" w:hint="eastAsia"/>
          <w:sz w:val="32"/>
          <w:szCs w:val="32"/>
        </w:rPr>
        <w:t>型糖尿病的</w:t>
      </w:r>
      <w:r>
        <w:rPr>
          <w:rFonts w:ascii="Times New Roman" w:eastAsia="仿宋" w:hAnsi="Times New Roman"/>
          <w:sz w:val="32"/>
          <w:szCs w:val="32"/>
        </w:rPr>
        <w:t>MDR-TB</w:t>
      </w:r>
      <w:r>
        <w:rPr>
          <w:rFonts w:ascii="Times New Roman" w:eastAsia="仿宋" w:hAnsi="Times New Roman" w:hint="eastAsia"/>
          <w:sz w:val="32"/>
          <w:szCs w:val="32"/>
        </w:rPr>
        <w:t>患者使用含</w:t>
      </w:r>
      <w:r>
        <w:rPr>
          <w:rFonts w:ascii="Times New Roman" w:eastAsia="仿宋" w:hAnsi="Times New Roman"/>
          <w:sz w:val="32"/>
          <w:szCs w:val="32"/>
        </w:rPr>
        <w:t>BDQ</w:t>
      </w:r>
      <w:r>
        <w:rPr>
          <w:rFonts w:ascii="Times New Roman" w:eastAsia="仿宋" w:hAnsi="Times New Roman" w:hint="eastAsia"/>
          <w:sz w:val="32"/>
          <w:szCs w:val="32"/>
        </w:rPr>
        <w:t>新药方案有效性不劣于非糖尿病的</w:t>
      </w:r>
      <w:r>
        <w:rPr>
          <w:rFonts w:ascii="Times New Roman" w:eastAsia="仿宋" w:hAnsi="Times New Roman"/>
          <w:sz w:val="32"/>
          <w:szCs w:val="32"/>
        </w:rPr>
        <w:t>MDR-TB</w:t>
      </w:r>
      <w:r>
        <w:rPr>
          <w:rFonts w:ascii="Times New Roman" w:eastAsia="仿宋" w:hAnsi="Times New Roman" w:hint="eastAsia"/>
          <w:sz w:val="32"/>
          <w:szCs w:val="32"/>
        </w:rPr>
        <w:t>患者，不良反应发生率无统计学差异，安全性可耐受。</w:t>
      </w:r>
    </w:p>
    <w:p w14:paraId="062D25B5" w14:textId="77777777" w:rsidR="00AC2315" w:rsidRDefault="00000000">
      <w:pPr>
        <w:pStyle w:val="a8"/>
        <w:widowControl/>
        <w:spacing w:before="75" w:beforeAutospacing="0" w:after="75" w:afterAutospacing="0" w:line="640" w:lineRule="exact"/>
        <w:ind w:firstLineChars="200" w:firstLine="640"/>
        <w:rPr>
          <w:rFonts w:ascii="Times New Roman" w:eastAsia="仿宋" w:hAnsi="Times New Roman"/>
          <w:sz w:val="32"/>
          <w:szCs w:val="32"/>
        </w:rPr>
      </w:pPr>
      <w:r>
        <w:rPr>
          <w:rFonts w:ascii="Times New Roman" w:eastAsia="仿宋" w:hAnsi="Times New Roman"/>
          <w:sz w:val="32"/>
          <w:szCs w:val="32"/>
        </w:rPr>
        <w:t>③</w:t>
      </w:r>
      <w:r>
        <w:rPr>
          <w:rFonts w:ascii="Times New Roman" w:eastAsia="仿宋" w:hAnsi="Times New Roman" w:hint="eastAsia"/>
          <w:sz w:val="32"/>
          <w:szCs w:val="32"/>
        </w:rPr>
        <w:t xml:space="preserve"> </w:t>
      </w:r>
      <w:r>
        <w:rPr>
          <w:rFonts w:ascii="Times New Roman" w:eastAsia="仿宋" w:hAnsi="Times New Roman" w:hint="eastAsia"/>
          <w:sz w:val="32"/>
          <w:szCs w:val="32"/>
        </w:rPr>
        <w:t>导致</w:t>
      </w:r>
      <w:r>
        <w:rPr>
          <w:rFonts w:ascii="Times New Roman" w:eastAsia="仿宋" w:hAnsi="Times New Roman"/>
          <w:sz w:val="32"/>
          <w:szCs w:val="32"/>
        </w:rPr>
        <w:t>QT</w:t>
      </w:r>
      <w:r>
        <w:rPr>
          <w:rFonts w:ascii="Times New Roman" w:eastAsia="仿宋" w:hAnsi="Times New Roman" w:hint="eastAsia"/>
          <w:sz w:val="32"/>
          <w:szCs w:val="32"/>
        </w:rPr>
        <w:t>间期延长是</w:t>
      </w:r>
      <w:r>
        <w:rPr>
          <w:rFonts w:ascii="Times New Roman" w:eastAsia="仿宋" w:hAnsi="Times New Roman"/>
          <w:sz w:val="32"/>
          <w:szCs w:val="32"/>
        </w:rPr>
        <w:t>BDQ</w:t>
      </w:r>
      <w:r>
        <w:rPr>
          <w:rFonts w:ascii="Times New Roman" w:eastAsia="仿宋" w:hAnsi="Times New Roman" w:hint="eastAsia"/>
          <w:sz w:val="32"/>
          <w:szCs w:val="32"/>
        </w:rPr>
        <w:t>最常见和最主要的不良反应，莫西沙星和氯法齐明均可导致</w:t>
      </w:r>
      <w:r>
        <w:rPr>
          <w:rFonts w:ascii="Times New Roman" w:eastAsia="仿宋" w:hAnsi="Times New Roman"/>
          <w:sz w:val="32"/>
          <w:szCs w:val="32"/>
        </w:rPr>
        <w:t>QTc</w:t>
      </w:r>
      <w:r>
        <w:rPr>
          <w:rFonts w:ascii="Times New Roman" w:eastAsia="仿宋" w:hAnsi="Times New Roman" w:hint="eastAsia"/>
          <w:sz w:val="32"/>
          <w:szCs w:val="32"/>
        </w:rPr>
        <w:t>间期延长。本研究结果提示与</w:t>
      </w:r>
      <w:r>
        <w:rPr>
          <w:rFonts w:ascii="Times New Roman" w:eastAsia="仿宋" w:hAnsi="Times New Roman" w:hint="eastAsia"/>
          <w:sz w:val="32"/>
          <w:szCs w:val="32"/>
        </w:rPr>
        <w:t> </w:t>
      </w:r>
      <w:r>
        <w:rPr>
          <w:rFonts w:ascii="Times New Roman" w:eastAsia="仿宋" w:hAnsi="Times New Roman"/>
          <w:sz w:val="32"/>
          <w:szCs w:val="32"/>
        </w:rPr>
        <w:t>BDQ-</w:t>
      </w:r>
      <w:r>
        <w:rPr>
          <w:rFonts w:ascii="Times New Roman" w:eastAsia="仿宋" w:hAnsi="Times New Roman" w:hint="eastAsia"/>
          <w:sz w:val="32"/>
          <w:szCs w:val="32"/>
        </w:rPr>
        <w:t>莫西沙星</w:t>
      </w:r>
      <w:r>
        <w:rPr>
          <w:rFonts w:ascii="Times New Roman" w:eastAsia="仿宋" w:hAnsi="Times New Roman"/>
          <w:sz w:val="32"/>
          <w:szCs w:val="32"/>
        </w:rPr>
        <w:t>-</w:t>
      </w:r>
      <w:r>
        <w:rPr>
          <w:rFonts w:ascii="Times New Roman" w:eastAsia="仿宋" w:hAnsi="Times New Roman" w:hint="eastAsia"/>
          <w:sz w:val="32"/>
          <w:szCs w:val="32"/>
        </w:rPr>
        <w:t>氯法齐明组和</w:t>
      </w:r>
      <w:r>
        <w:rPr>
          <w:rFonts w:ascii="Times New Roman" w:eastAsia="仿宋" w:hAnsi="Times New Roman"/>
          <w:sz w:val="32"/>
          <w:szCs w:val="32"/>
        </w:rPr>
        <w:t>BDQ-</w:t>
      </w:r>
      <w:r>
        <w:rPr>
          <w:rFonts w:ascii="Times New Roman" w:eastAsia="仿宋" w:hAnsi="Times New Roman" w:hint="eastAsia"/>
          <w:sz w:val="32"/>
          <w:szCs w:val="32"/>
        </w:rPr>
        <w:t>氯法齐明组患者比较，</w:t>
      </w:r>
      <w:r>
        <w:rPr>
          <w:rFonts w:ascii="Times New Roman" w:eastAsia="仿宋" w:hAnsi="Times New Roman"/>
          <w:sz w:val="32"/>
          <w:szCs w:val="32"/>
        </w:rPr>
        <w:t>BDQ-</w:t>
      </w:r>
      <w:r>
        <w:rPr>
          <w:rFonts w:ascii="Times New Roman" w:eastAsia="仿宋" w:hAnsi="Times New Roman" w:hint="eastAsia"/>
          <w:sz w:val="32"/>
          <w:szCs w:val="32"/>
        </w:rPr>
        <w:t>莫西沙星组患者发生</w:t>
      </w:r>
      <w:r>
        <w:rPr>
          <w:rFonts w:ascii="Times New Roman" w:eastAsia="仿宋" w:hAnsi="Times New Roman"/>
          <w:sz w:val="32"/>
          <w:szCs w:val="32"/>
        </w:rPr>
        <w:t>3</w:t>
      </w:r>
      <w:r>
        <w:rPr>
          <w:rFonts w:ascii="Times New Roman" w:eastAsia="仿宋" w:hAnsi="Times New Roman" w:hint="eastAsia"/>
          <w:sz w:val="32"/>
          <w:szCs w:val="32"/>
        </w:rPr>
        <w:t>级及以上</w:t>
      </w:r>
      <w:r>
        <w:rPr>
          <w:rFonts w:ascii="Times New Roman" w:eastAsia="仿宋" w:hAnsi="Times New Roman"/>
          <w:sz w:val="32"/>
          <w:szCs w:val="32"/>
        </w:rPr>
        <w:t>QT</w:t>
      </w:r>
      <w:r>
        <w:rPr>
          <w:rFonts w:ascii="Times New Roman" w:eastAsia="仿宋" w:hAnsi="Times New Roman" w:hint="eastAsia"/>
          <w:sz w:val="32"/>
          <w:szCs w:val="32"/>
        </w:rPr>
        <w:t>间期延长的</w:t>
      </w:r>
      <w:r>
        <w:rPr>
          <w:rFonts w:ascii="Times New Roman" w:eastAsia="仿宋" w:hAnsi="Times New Roman"/>
          <w:sz w:val="32"/>
          <w:szCs w:val="32"/>
        </w:rPr>
        <w:t>AE</w:t>
      </w:r>
      <w:r>
        <w:rPr>
          <w:rFonts w:ascii="Times New Roman" w:eastAsia="仿宋" w:hAnsi="Times New Roman" w:hint="eastAsia"/>
          <w:sz w:val="32"/>
          <w:szCs w:val="32"/>
        </w:rPr>
        <w:t>次数较其他两组患者无明显差别，安全性在可接受范围。</w:t>
      </w:r>
    </w:p>
    <w:p w14:paraId="231B732F" w14:textId="77777777" w:rsidR="00AC2315" w:rsidRDefault="00000000">
      <w:pPr>
        <w:spacing w:line="640" w:lineRule="exact"/>
        <w:ind w:firstLineChars="200" w:firstLine="640"/>
        <w:rPr>
          <w:rFonts w:ascii="Times New Roman" w:eastAsia="仿宋" w:hAnsi="Times New Roman"/>
          <w:color w:val="000000"/>
          <w:sz w:val="32"/>
          <w:szCs w:val="32"/>
        </w:rPr>
      </w:pPr>
      <w:r>
        <w:rPr>
          <w:rFonts w:ascii="Times New Roman" w:eastAsia="仿宋" w:hAnsi="Times New Roman"/>
          <w:sz w:val="32"/>
          <w:szCs w:val="32"/>
        </w:rPr>
        <w:t>4.3</w:t>
      </w:r>
      <w:r>
        <w:rPr>
          <w:rFonts w:ascii="Times New Roman" w:eastAsia="仿宋" w:hAnsi="Times New Roman"/>
          <w:sz w:val="32"/>
          <w:szCs w:val="32"/>
        </w:rPr>
        <w:t>科学价值</w:t>
      </w:r>
      <w:r>
        <w:rPr>
          <w:rFonts w:ascii="Times New Roman" w:eastAsia="仿宋" w:hAnsi="Times New Roman"/>
          <w:b/>
          <w:bCs/>
          <w:sz w:val="32"/>
          <w:szCs w:val="32"/>
        </w:rPr>
        <w:t>：</w:t>
      </w:r>
    </w:p>
    <w:p w14:paraId="7A1A90A9" w14:textId="77777777" w:rsidR="00AC2315" w:rsidRDefault="00000000">
      <w:pPr>
        <w:spacing w:line="64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本项目为国内最早探索含</w:t>
      </w:r>
      <w:r>
        <w:rPr>
          <w:rFonts w:ascii="Times New Roman" w:eastAsia="仿宋" w:hAnsi="Times New Roman"/>
          <w:kern w:val="0"/>
          <w:sz w:val="32"/>
          <w:szCs w:val="32"/>
        </w:rPr>
        <w:t>BDQ</w:t>
      </w:r>
      <w:r>
        <w:rPr>
          <w:rFonts w:ascii="Times New Roman" w:eastAsia="仿宋" w:hAnsi="Times New Roman" w:hint="eastAsia"/>
          <w:kern w:val="0"/>
          <w:sz w:val="32"/>
          <w:szCs w:val="32"/>
        </w:rPr>
        <w:t>方案治疗中国</w:t>
      </w:r>
      <w:r>
        <w:rPr>
          <w:rFonts w:ascii="Times New Roman" w:eastAsia="仿宋" w:hAnsi="Times New Roman"/>
          <w:kern w:val="0"/>
          <w:sz w:val="32"/>
          <w:szCs w:val="32"/>
        </w:rPr>
        <w:t>MDR-TB</w:t>
      </w:r>
      <w:r>
        <w:rPr>
          <w:rFonts w:ascii="Times New Roman" w:eastAsia="仿宋" w:hAnsi="Times New Roman" w:hint="eastAsia"/>
          <w:kern w:val="0"/>
          <w:sz w:val="32"/>
          <w:szCs w:val="32"/>
        </w:rPr>
        <w:lastRenderedPageBreak/>
        <w:t>的临床研究之一，研究结果提示含</w:t>
      </w:r>
      <w:r>
        <w:rPr>
          <w:rFonts w:ascii="Times New Roman" w:eastAsia="仿宋" w:hAnsi="Times New Roman"/>
          <w:kern w:val="0"/>
          <w:sz w:val="32"/>
          <w:szCs w:val="32"/>
        </w:rPr>
        <w:t>BDQ</w:t>
      </w:r>
      <w:r>
        <w:rPr>
          <w:rFonts w:ascii="Times New Roman" w:eastAsia="仿宋" w:hAnsi="Times New Roman" w:hint="eastAsia"/>
          <w:kern w:val="0"/>
          <w:sz w:val="32"/>
          <w:szCs w:val="32"/>
        </w:rPr>
        <w:t>新药方案中国</w:t>
      </w:r>
      <w:r>
        <w:rPr>
          <w:rFonts w:ascii="Times New Roman" w:eastAsia="仿宋" w:hAnsi="Times New Roman"/>
          <w:kern w:val="0"/>
          <w:sz w:val="32"/>
          <w:szCs w:val="32"/>
        </w:rPr>
        <w:t>MDR-TB</w:t>
      </w:r>
      <w:r>
        <w:rPr>
          <w:rFonts w:ascii="Times New Roman" w:eastAsia="仿宋" w:hAnsi="Times New Roman" w:hint="eastAsia"/>
          <w:kern w:val="0"/>
          <w:sz w:val="32"/>
          <w:szCs w:val="32"/>
        </w:rPr>
        <w:t>患者较国内既往治疗方案疗效明显提高，安全性可耐受，为中国</w:t>
      </w:r>
      <w:r>
        <w:rPr>
          <w:rFonts w:ascii="Times New Roman" w:eastAsia="仿宋" w:hAnsi="Times New Roman"/>
          <w:kern w:val="0"/>
          <w:sz w:val="32"/>
          <w:szCs w:val="32"/>
        </w:rPr>
        <w:t>MDR-TB</w:t>
      </w:r>
      <w:r>
        <w:rPr>
          <w:rFonts w:ascii="Times New Roman" w:eastAsia="仿宋" w:hAnsi="Times New Roman" w:hint="eastAsia"/>
          <w:kern w:val="0"/>
          <w:sz w:val="32"/>
          <w:szCs w:val="32"/>
        </w:rPr>
        <w:t>患者服用</w:t>
      </w:r>
      <w:r>
        <w:rPr>
          <w:rFonts w:ascii="Times New Roman" w:eastAsia="仿宋" w:hAnsi="Times New Roman"/>
          <w:kern w:val="0"/>
          <w:sz w:val="32"/>
          <w:szCs w:val="32"/>
        </w:rPr>
        <w:t>BDQ</w:t>
      </w:r>
      <w:r>
        <w:rPr>
          <w:rFonts w:ascii="Times New Roman" w:eastAsia="仿宋" w:hAnsi="Times New Roman" w:hint="eastAsia"/>
          <w:kern w:val="0"/>
          <w:sz w:val="32"/>
          <w:szCs w:val="32"/>
        </w:rPr>
        <w:t>新药提供了数据支持及经验借鉴。本项目在</w:t>
      </w:r>
      <w:r>
        <w:rPr>
          <w:rFonts w:ascii="Times New Roman" w:eastAsia="仿宋" w:hAnsi="Times New Roman"/>
          <w:kern w:val="0"/>
          <w:sz w:val="32"/>
          <w:szCs w:val="32"/>
        </w:rPr>
        <w:t>Clinical Microbiology and Infection</w:t>
      </w:r>
      <w:r>
        <w:rPr>
          <w:rFonts w:ascii="Times New Roman" w:eastAsia="仿宋" w:hAnsi="Times New Roman" w:hint="eastAsia"/>
          <w:kern w:val="0"/>
          <w:sz w:val="32"/>
          <w:szCs w:val="32"/>
        </w:rPr>
        <w:t>、</w:t>
      </w:r>
      <w:r>
        <w:rPr>
          <w:rFonts w:ascii="Times New Roman" w:eastAsia="仿宋" w:hAnsi="Times New Roman"/>
          <w:kern w:val="0"/>
          <w:sz w:val="32"/>
          <w:szCs w:val="32"/>
        </w:rPr>
        <w:t>Infect Dis Poverty</w:t>
      </w:r>
      <w:r>
        <w:rPr>
          <w:rFonts w:ascii="Times New Roman" w:eastAsia="仿宋" w:hAnsi="Times New Roman" w:hint="eastAsia"/>
          <w:kern w:val="0"/>
          <w:sz w:val="32"/>
          <w:szCs w:val="32"/>
        </w:rPr>
        <w:t>、</w:t>
      </w:r>
      <w:r>
        <w:rPr>
          <w:rFonts w:ascii="Times New Roman" w:eastAsia="仿宋" w:hAnsi="Times New Roman"/>
          <w:kern w:val="0"/>
          <w:sz w:val="32"/>
          <w:szCs w:val="32"/>
        </w:rPr>
        <w:t>Infect Dis Ther</w:t>
      </w:r>
      <w:r>
        <w:rPr>
          <w:rFonts w:ascii="Times New Roman" w:eastAsia="仿宋" w:hAnsi="Times New Roman" w:hint="eastAsia"/>
          <w:kern w:val="0"/>
          <w:sz w:val="32"/>
          <w:szCs w:val="32"/>
        </w:rPr>
        <w:t>等国内外权威杂志上发表论文</w:t>
      </w:r>
      <w:r>
        <w:rPr>
          <w:rFonts w:ascii="Times New Roman" w:eastAsia="仿宋" w:hAnsi="Times New Roman"/>
          <w:kern w:val="0"/>
          <w:sz w:val="32"/>
          <w:szCs w:val="32"/>
        </w:rPr>
        <w:t>7</w:t>
      </w:r>
      <w:r>
        <w:rPr>
          <w:rFonts w:ascii="Times New Roman" w:eastAsia="仿宋" w:hAnsi="Times New Roman" w:hint="eastAsia"/>
          <w:kern w:val="0"/>
          <w:sz w:val="32"/>
          <w:szCs w:val="32"/>
        </w:rPr>
        <w:t>篇，其中</w:t>
      </w:r>
      <w:r>
        <w:rPr>
          <w:rFonts w:ascii="Times New Roman" w:eastAsia="仿宋" w:hAnsi="Times New Roman"/>
          <w:kern w:val="0"/>
          <w:sz w:val="32"/>
          <w:szCs w:val="32"/>
        </w:rPr>
        <w:t>SCI</w:t>
      </w:r>
      <w:r>
        <w:rPr>
          <w:rFonts w:ascii="Times New Roman" w:eastAsia="仿宋" w:hAnsi="Times New Roman" w:hint="eastAsia"/>
          <w:kern w:val="0"/>
          <w:sz w:val="32"/>
          <w:szCs w:val="32"/>
        </w:rPr>
        <w:t>收录</w:t>
      </w:r>
      <w:r>
        <w:rPr>
          <w:rFonts w:ascii="Times New Roman" w:eastAsia="仿宋" w:hAnsi="Times New Roman"/>
          <w:kern w:val="0"/>
          <w:sz w:val="32"/>
          <w:szCs w:val="32"/>
        </w:rPr>
        <w:t>4</w:t>
      </w:r>
      <w:r>
        <w:rPr>
          <w:rFonts w:ascii="Times New Roman" w:eastAsia="仿宋" w:hAnsi="Times New Roman" w:hint="eastAsia"/>
          <w:kern w:val="0"/>
          <w:sz w:val="32"/>
          <w:szCs w:val="32"/>
        </w:rPr>
        <w:t>篇，总</w:t>
      </w:r>
      <w:r>
        <w:rPr>
          <w:rFonts w:ascii="Times New Roman" w:eastAsia="仿宋" w:hAnsi="Times New Roman"/>
          <w:kern w:val="0"/>
          <w:sz w:val="32"/>
          <w:szCs w:val="32"/>
        </w:rPr>
        <w:t>IF</w:t>
      </w:r>
      <w:r>
        <w:rPr>
          <w:rFonts w:ascii="Times New Roman" w:eastAsia="仿宋" w:hAnsi="Times New Roman" w:hint="eastAsia"/>
          <w:kern w:val="0"/>
          <w:sz w:val="32"/>
          <w:szCs w:val="32"/>
        </w:rPr>
        <w:t>值</w:t>
      </w:r>
      <w:r>
        <w:rPr>
          <w:rFonts w:ascii="Times New Roman" w:eastAsia="仿宋" w:hAnsi="Times New Roman"/>
          <w:kern w:val="0"/>
          <w:sz w:val="32"/>
          <w:szCs w:val="32"/>
        </w:rPr>
        <w:t>41.987</w:t>
      </w:r>
      <w:r>
        <w:rPr>
          <w:rFonts w:ascii="Times New Roman" w:eastAsia="仿宋" w:hAnsi="Times New Roman" w:hint="eastAsia"/>
          <w:kern w:val="0"/>
          <w:sz w:val="32"/>
          <w:szCs w:val="32"/>
        </w:rPr>
        <w:t>，最高</w:t>
      </w:r>
      <w:r>
        <w:rPr>
          <w:rFonts w:ascii="Times New Roman" w:eastAsia="仿宋" w:hAnsi="Times New Roman"/>
          <w:kern w:val="0"/>
          <w:sz w:val="32"/>
          <w:szCs w:val="32"/>
        </w:rPr>
        <w:t>I F</w:t>
      </w:r>
      <w:r>
        <w:rPr>
          <w:rFonts w:ascii="Times New Roman" w:eastAsia="仿宋" w:hAnsi="Times New Roman" w:hint="eastAsia"/>
          <w:kern w:val="0"/>
          <w:sz w:val="32"/>
          <w:szCs w:val="32"/>
        </w:rPr>
        <w:t>值</w:t>
      </w:r>
      <w:r>
        <w:rPr>
          <w:rFonts w:ascii="Times New Roman" w:eastAsia="仿宋" w:hAnsi="Times New Roman"/>
          <w:kern w:val="0"/>
          <w:sz w:val="32"/>
          <w:szCs w:val="32"/>
        </w:rPr>
        <w:t>13.31</w:t>
      </w:r>
      <w:r>
        <w:rPr>
          <w:rFonts w:ascii="Times New Roman" w:eastAsia="仿宋" w:hAnsi="Times New Roman" w:hint="eastAsia"/>
          <w:kern w:val="0"/>
          <w:sz w:val="32"/>
          <w:szCs w:val="32"/>
        </w:rPr>
        <w:t>，</w:t>
      </w:r>
      <w:proofErr w:type="gramStart"/>
      <w:r>
        <w:rPr>
          <w:rFonts w:ascii="Times New Roman" w:eastAsia="仿宋" w:hAnsi="Times New Roman" w:hint="eastAsia"/>
          <w:kern w:val="0"/>
          <w:sz w:val="32"/>
          <w:szCs w:val="32"/>
        </w:rPr>
        <w:t>其中被总引</w:t>
      </w:r>
      <w:proofErr w:type="gramEnd"/>
      <w:r>
        <w:rPr>
          <w:rFonts w:ascii="Times New Roman" w:eastAsia="仿宋" w:hAnsi="Times New Roman"/>
          <w:kern w:val="0"/>
          <w:sz w:val="32"/>
          <w:szCs w:val="32"/>
        </w:rPr>
        <w:t>95</w:t>
      </w:r>
      <w:r>
        <w:rPr>
          <w:rFonts w:ascii="Times New Roman" w:eastAsia="仿宋" w:hAnsi="Times New Roman" w:hint="eastAsia"/>
          <w:kern w:val="0"/>
          <w:sz w:val="32"/>
          <w:szCs w:val="32"/>
        </w:rPr>
        <w:t>次，他引</w:t>
      </w:r>
      <w:r>
        <w:rPr>
          <w:rFonts w:ascii="Times New Roman" w:eastAsia="仿宋" w:hAnsi="Times New Roman"/>
          <w:kern w:val="0"/>
          <w:sz w:val="32"/>
          <w:szCs w:val="32"/>
        </w:rPr>
        <w:t>75</w:t>
      </w:r>
      <w:r>
        <w:rPr>
          <w:rFonts w:ascii="Times New Roman" w:eastAsia="仿宋" w:hAnsi="Times New Roman" w:hint="eastAsia"/>
          <w:kern w:val="0"/>
          <w:sz w:val="32"/>
          <w:szCs w:val="32"/>
        </w:rPr>
        <w:t>次，单篇最高他引</w:t>
      </w:r>
      <w:r>
        <w:rPr>
          <w:rFonts w:ascii="Times New Roman" w:eastAsia="仿宋" w:hAnsi="Times New Roman"/>
          <w:kern w:val="0"/>
          <w:sz w:val="32"/>
          <w:szCs w:val="32"/>
        </w:rPr>
        <w:t>22</w:t>
      </w:r>
      <w:r>
        <w:rPr>
          <w:rFonts w:ascii="Times New Roman" w:eastAsia="仿宋" w:hAnsi="Times New Roman" w:hint="eastAsia"/>
          <w:kern w:val="0"/>
          <w:sz w:val="32"/>
          <w:szCs w:val="32"/>
        </w:rPr>
        <w:t>次（附件</w:t>
      </w:r>
      <w:r>
        <w:rPr>
          <w:rFonts w:ascii="Times New Roman" w:eastAsia="仿宋" w:hAnsi="Times New Roman"/>
          <w:kern w:val="0"/>
          <w:sz w:val="32"/>
          <w:szCs w:val="32"/>
        </w:rPr>
        <w:t>1</w:t>
      </w:r>
      <w:r>
        <w:rPr>
          <w:rFonts w:ascii="Times New Roman" w:eastAsia="仿宋" w:hAnsi="Times New Roman" w:hint="eastAsia"/>
          <w:kern w:val="0"/>
          <w:sz w:val="32"/>
          <w:szCs w:val="32"/>
        </w:rPr>
        <w:t>），对我们的研究工作进行了充分的肯定和高度评价。</w:t>
      </w:r>
    </w:p>
    <w:p w14:paraId="204488C1" w14:textId="77777777" w:rsidR="00AC2315" w:rsidRDefault="00000000">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4.4</w:t>
      </w:r>
      <w:r>
        <w:rPr>
          <w:rFonts w:ascii="Times New Roman" w:eastAsia="仿宋" w:hAnsi="Times New Roman"/>
          <w:sz w:val="32"/>
          <w:szCs w:val="32"/>
        </w:rPr>
        <w:t>社会价值</w:t>
      </w:r>
    </w:p>
    <w:p w14:paraId="6001E9AC" w14:textId="77777777" w:rsidR="00AC2315" w:rsidRDefault="00000000">
      <w:pPr>
        <w:pStyle w:val="a8"/>
        <w:widowControl/>
        <w:spacing w:before="75" w:beforeAutospacing="0" w:after="75" w:afterAutospacing="0" w:line="640" w:lineRule="exact"/>
        <w:ind w:firstLineChars="200" w:firstLine="640"/>
        <w:rPr>
          <w:rFonts w:ascii="Times New Roman" w:eastAsia="仿宋" w:hAnsi="Times New Roman"/>
          <w:color w:val="000000"/>
          <w:kern w:val="2"/>
          <w:sz w:val="32"/>
          <w:szCs w:val="32"/>
        </w:rPr>
      </w:pPr>
      <w:r>
        <w:rPr>
          <w:rFonts w:ascii="Times New Roman" w:eastAsia="仿宋" w:hAnsi="Times New Roman"/>
          <w:color w:val="000000"/>
          <w:kern w:val="2"/>
          <w:sz w:val="32"/>
          <w:szCs w:val="32"/>
        </w:rPr>
        <w:t>①</w:t>
      </w:r>
      <w:r>
        <w:rPr>
          <w:rFonts w:ascii="Times New Roman" w:eastAsia="仿宋" w:hAnsi="Times New Roman" w:hint="eastAsia"/>
          <w:color w:val="000000"/>
          <w:kern w:val="2"/>
          <w:sz w:val="32"/>
          <w:szCs w:val="32"/>
        </w:rPr>
        <w:t xml:space="preserve"> </w:t>
      </w:r>
      <w:r>
        <w:rPr>
          <w:rFonts w:ascii="Times New Roman" w:eastAsia="仿宋" w:hAnsi="Times New Roman" w:hint="eastAsia"/>
          <w:color w:val="000000"/>
          <w:kern w:val="2"/>
          <w:sz w:val="32"/>
          <w:szCs w:val="32"/>
        </w:rPr>
        <w:t>本项目为</w:t>
      </w:r>
      <w:r>
        <w:rPr>
          <w:rFonts w:ascii="Times New Roman" w:eastAsia="仿宋" w:hAnsi="Times New Roman" w:hint="eastAsia"/>
          <w:color w:val="000000"/>
          <w:kern w:val="2"/>
          <w:sz w:val="32"/>
          <w:szCs w:val="32"/>
        </w:rPr>
        <w:t>BDQ</w:t>
      </w:r>
      <w:r>
        <w:rPr>
          <w:rFonts w:ascii="Times New Roman" w:eastAsia="仿宋" w:hAnsi="Times New Roman" w:hint="eastAsia"/>
          <w:color w:val="000000"/>
          <w:kern w:val="2"/>
          <w:sz w:val="32"/>
          <w:szCs w:val="32"/>
        </w:rPr>
        <w:t>在我国的安全有效使用提供了临床经验和科学依据，为含</w:t>
      </w:r>
      <w:r>
        <w:rPr>
          <w:rFonts w:ascii="Times New Roman" w:eastAsia="仿宋" w:hAnsi="Times New Roman" w:hint="eastAsia"/>
          <w:color w:val="000000"/>
          <w:kern w:val="2"/>
          <w:sz w:val="32"/>
          <w:szCs w:val="32"/>
        </w:rPr>
        <w:t>BDQ</w:t>
      </w:r>
      <w:r>
        <w:rPr>
          <w:rFonts w:ascii="Times New Roman" w:eastAsia="仿宋" w:hAnsi="Times New Roman" w:hint="eastAsia"/>
          <w:color w:val="000000"/>
          <w:kern w:val="2"/>
          <w:sz w:val="32"/>
          <w:szCs w:val="32"/>
        </w:rPr>
        <w:t>方案治疗中国</w:t>
      </w:r>
      <w:r>
        <w:rPr>
          <w:rFonts w:ascii="Times New Roman" w:eastAsia="仿宋" w:hAnsi="Times New Roman" w:hint="eastAsia"/>
          <w:color w:val="000000"/>
          <w:kern w:val="2"/>
          <w:sz w:val="32"/>
          <w:szCs w:val="32"/>
        </w:rPr>
        <w:t>MDR-TB</w:t>
      </w:r>
      <w:r>
        <w:rPr>
          <w:rFonts w:ascii="Times New Roman" w:eastAsia="仿宋" w:hAnsi="Times New Roman" w:hint="eastAsia"/>
          <w:color w:val="000000"/>
          <w:kern w:val="2"/>
          <w:sz w:val="32"/>
          <w:szCs w:val="32"/>
        </w:rPr>
        <w:t>患者的推广奠定了基础，提高了我国耐药肺结核的治愈率，减少了耐药肺结核的传播，对促进“终结肺结核”目标的早日实现意义重大。</w:t>
      </w:r>
    </w:p>
    <w:p w14:paraId="4B64BBC8" w14:textId="77777777" w:rsidR="00AC2315" w:rsidRDefault="00000000">
      <w:pPr>
        <w:pStyle w:val="a8"/>
        <w:widowControl/>
        <w:spacing w:before="75" w:beforeAutospacing="0" w:after="75" w:afterAutospacing="0" w:line="640" w:lineRule="exact"/>
        <w:ind w:firstLineChars="200" w:firstLine="640"/>
        <w:rPr>
          <w:rFonts w:ascii="Times New Roman" w:eastAsia="仿宋" w:hAnsi="Times New Roman"/>
          <w:color w:val="000000"/>
          <w:kern w:val="2"/>
          <w:sz w:val="32"/>
          <w:szCs w:val="32"/>
        </w:rPr>
      </w:pPr>
      <w:r>
        <w:rPr>
          <w:rFonts w:ascii="Times New Roman" w:eastAsia="仿宋" w:hAnsi="Times New Roman"/>
          <w:color w:val="000000"/>
          <w:kern w:val="2"/>
          <w:sz w:val="32"/>
          <w:szCs w:val="32"/>
        </w:rPr>
        <w:t>②</w:t>
      </w:r>
      <w:r>
        <w:rPr>
          <w:rFonts w:ascii="Times New Roman" w:eastAsia="仿宋" w:hAnsi="Times New Roman" w:hint="eastAsia"/>
          <w:color w:val="000000"/>
          <w:kern w:val="2"/>
          <w:sz w:val="32"/>
          <w:szCs w:val="32"/>
        </w:rPr>
        <w:t xml:space="preserve"> </w:t>
      </w:r>
      <w:r>
        <w:rPr>
          <w:rFonts w:ascii="Times New Roman" w:eastAsia="仿宋" w:hAnsi="Times New Roman" w:hint="eastAsia"/>
          <w:color w:val="000000"/>
          <w:kern w:val="2"/>
          <w:sz w:val="32"/>
          <w:szCs w:val="32"/>
        </w:rPr>
        <w:t>项目负责人被</w:t>
      </w:r>
      <w:proofErr w:type="gramStart"/>
      <w:r>
        <w:rPr>
          <w:rFonts w:ascii="Times New Roman" w:eastAsia="仿宋" w:hAnsi="Times New Roman" w:hint="eastAsia"/>
          <w:color w:val="000000"/>
          <w:kern w:val="2"/>
          <w:sz w:val="32"/>
          <w:szCs w:val="32"/>
        </w:rPr>
        <w:t>中国疾控中心</w:t>
      </w:r>
      <w:proofErr w:type="gramEnd"/>
      <w:r>
        <w:rPr>
          <w:rFonts w:ascii="Times New Roman" w:eastAsia="仿宋" w:hAnsi="Times New Roman" w:hint="eastAsia"/>
          <w:color w:val="000000"/>
          <w:kern w:val="2"/>
          <w:sz w:val="32"/>
          <w:szCs w:val="32"/>
        </w:rPr>
        <w:t>结核病防治临床中心聘为“抗结核新药引入和保护项目”国家级临床专家组成员，本单位被评为“抗结核新药引入和保护项目”国家级示范中心，负责对湖南、广西、广东、江西、浙江等地</w:t>
      </w:r>
      <w:r>
        <w:rPr>
          <w:rFonts w:ascii="Times New Roman" w:eastAsia="仿宋" w:hAnsi="Times New Roman" w:hint="eastAsia"/>
          <w:color w:val="000000"/>
          <w:kern w:val="2"/>
          <w:sz w:val="32"/>
          <w:szCs w:val="32"/>
        </w:rPr>
        <w:t>11</w:t>
      </w:r>
      <w:r>
        <w:rPr>
          <w:rFonts w:ascii="Times New Roman" w:eastAsia="仿宋" w:hAnsi="Times New Roman" w:hint="eastAsia"/>
          <w:color w:val="000000"/>
          <w:kern w:val="2"/>
          <w:sz w:val="32"/>
          <w:szCs w:val="32"/>
        </w:rPr>
        <w:t>家医院进行</w:t>
      </w:r>
      <w:r>
        <w:rPr>
          <w:rFonts w:ascii="Times New Roman" w:eastAsia="仿宋" w:hAnsi="Times New Roman" w:hint="eastAsia"/>
          <w:color w:val="000000"/>
          <w:kern w:val="2"/>
          <w:sz w:val="32"/>
          <w:szCs w:val="32"/>
        </w:rPr>
        <w:t>BDQ</w:t>
      </w:r>
      <w:r>
        <w:rPr>
          <w:rFonts w:ascii="Times New Roman" w:eastAsia="仿宋" w:hAnsi="Times New Roman" w:hint="eastAsia"/>
          <w:color w:val="000000"/>
          <w:kern w:val="2"/>
          <w:sz w:val="32"/>
          <w:szCs w:val="32"/>
        </w:rPr>
        <w:t>新药使用督导和病例会诊工作，提高了我院结核</w:t>
      </w:r>
      <w:r>
        <w:rPr>
          <w:rFonts w:ascii="Times New Roman" w:eastAsia="仿宋" w:hAnsi="Times New Roman" w:hint="eastAsia"/>
          <w:color w:val="000000"/>
          <w:kern w:val="2"/>
          <w:sz w:val="32"/>
          <w:szCs w:val="32"/>
        </w:rPr>
        <w:lastRenderedPageBreak/>
        <w:t>专业在国内的影响力，培养了一批耐药结核新药使用专家，促进了耐药结核诊疗技术的提升。</w:t>
      </w:r>
    </w:p>
    <w:p w14:paraId="50A23ED8" w14:textId="77777777" w:rsidR="00AC2315" w:rsidRDefault="00000000">
      <w:pPr>
        <w:pStyle w:val="a8"/>
        <w:widowControl/>
        <w:spacing w:before="75" w:beforeAutospacing="0" w:after="75" w:afterAutospacing="0" w:line="640" w:lineRule="exact"/>
        <w:ind w:firstLineChars="200" w:firstLine="640"/>
        <w:rPr>
          <w:rFonts w:ascii="Times New Roman" w:eastAsia="仿宋" w:hAnsi="Times New Roman"/>
          <w:color w:val="000000"/>
          <w:kern w:val="2"/>
          <w:sz w:val="32"/>
          <w:szCs w:val="32"/>
        </w:rPr>
      </w:pPr>
      <w:r>
        <w:rPr>
          <w:rFonts w:ascii="Times New Roman" w:eastAsia="仿宋" w:hAnsi="Times New Roman"/>
          <w:color w:val="000000"/>
          <w:kern w:val="2"/>
          <w:sz w:val="32"/>
          <w:szCs w:val="32"/>
        </w:rPr>
        <w:t>③</w:t>
      </w:r>
      <w:r>
        <w:rPr>
          <w:rFonts w:ascii="Times New Roman" w:eastAsia="仿宋" w:hAnsi="Times New Roman" w:hint="eastAsia"/>
          <w:color w:val="000000"/>
          <w:kern w:val="2"/>
          <w:sz w:val="32"/>
          <w:szCs w:val="32"/>
        </w:rPr>
        <w:t xml:space="preserve"> </w:t>
      </w:r>
      <w:r>
        <w:rPr>
          <w:rFonts w:ascii="Times New Roman" w:eastAsia="仿宋" w:hAnsi="Times New Roman" w:hint="eastAsia"/>
          <w:color w:val="000000"/>
          <w:kern w:val="2"/>
          <w:sz w:val="32"/>
          <w:szCs w:val="32"/>
        </w:rPr>
        <w:t>因本项目的推广及项目负责人的技术支持，含贝达喹啉</w:t>
      </w:r>
      <w:proofErr w:type="gramStart"/>
      <w:r>
        <w:rPr>
          <w:rFonts w:ascii="Times New Roman" w:eastAsia="仿宋" w:hAnsi="Times New Roman" w:hint="eastAsia"/>
          <w:color w:val="000000"/>
          <w:kern w:val="2"/>
          <w:sz w:val="32"/>
          <w:szCs w:val="32"/>
        </w:rPr>
        <w:t>治疗耐多药</w:t>
      </w:r>
      <w:proofErr w:type="gramEnd"/>
      <w:r>
        <w:rPr>
          <w:rFonts w:ascii="Times New Roman" w:eastAsia="仿宋" w:hAnsi="Times New Roman" w:hint="eastAsia"/>
          <w:color w:val="000000"/>
          <w:kern w:val="2"/>
          <w:sz w:val="32"/>
          <w:szCs w:val="32"/>
        </w:rPr>
        <w:t>结核方案于</w:t>
      </w:r>
      <w:r>
        <w:rPr>
          <w:rFonts w:ascii="Times New Roman" w:eastAsia="仿宋" w:hAnsi="Times New Roman" w:hint="eastAsia"/>
          <w:color w:val="000000"/>
          <w:kern w:val="2"/>
          <w:sz w:val="32"/>
          <w:szCs w:val="32"/>
        </w:rPr>
        <w:t>2018</w:t>
      </w:r>
      <w:r>
        <w:rPr>
          <w:rFonts w:ascii="Times New Roman" w:eastAsia="仿宋" w:hAnsi="Times New Roman" w:hint="eastAsia"/>
          <w:color w:val="000000"/>
          <w:kern w:val="2"/>
          <w:sz w:val="32"/>
          <w:szCs w:val="32"/>
        </w:rPr>
        <w:t>年</w:t>
      </w:r>
      <w:r>
        <w:rPr>
          <w:rFonts w:ascii="Times New Roman" w:eastAsia="仿宋" w:hAnsi="Times New Roman" w:hint="eastAsia"/>
          <w:color w:val="000000"/>
          <w:kern w:val="2"/>
          <w:sz w:val="32"/>
          <w:szCs w:val="32"/>
        </w:rPr>
        <w:t>8</w:t>
      </w:r>
      <w:r>
        <w:rPr>
          <w:rFonts w:ascii="Times New Roman" w:eastAsia="仿宋" w:hAnsi="Times New Roman" w:hint="eastAsia"/>
          <w:color w:val="000000"/>
          <w:kern w:val="2"/>
          <w:sz w:val="32"/>
          <w:szCs w:val="32"/>
        </w:rPr>
        <w:t>月起在湖南省有耐药结核诊治条件的株洲、湘潭、益阳、衡阳、郴州等</w:t>
      </w:r>
      <w:r>
        <w:rPr>
          <w:rFonts w:ascii="Times New Roman" w:eastAsia="仿宋" w:hAnsi="Times New Roman" w:hint="eastAsia"/>
          <w:color w:val="000000"/>
          <w:kern w:val="2"/>
          <w:sz w:val="32"/>
          <w:szCs w:val="32"/>
        </w:rPr>
        <w:t>8</w:t>
      </w:r>
      <w:r>
        <w:rPr>
          <w:rFonts w:ascii="Times New Roman" w:eastAsia="仿宋" w:hAnsi="Times New Roman" w:hint="eastAsia"/>
          <w:color w:val="000000"/>
          <w:kern w:val="2"/>
          <w:sz w:val="32"/>
          <w:szCs w:val="32"/>
        </w:rPr>
        <w:t>家地级市医院全面开展至今，治愈率提升至</w:t>
      </w:r>
      <w:r>
        <w:rPr>
          <w:rFonts w:ascii="Times New Roman" w:eastAsia="仿宋" w:hAnsi="Times New Roman" w:hint="eastAsia"/>
          <w:color w:val="000000"/>
          <w:kern w:val="2"/>
          <w:sz w:val="32"/>
          <w:szCs w:val="32"/>
        </w:rPr>
        <w:t>70%</w:t>
      </w:r>
      <w:r>
        <w:rPr>
          <w:rFonts w:ascii="Times New Roman" w:eastAsia="仿宋" w:hAnsi="Times New Roman" w:hint="eastAsia"/>
          <w:color w:val="000000"/>
          <w:kern w:val="2"/>
          <w:sz w:val="32"/>
          <w:szCs w:val="32"/>
        </w:rPr>
        <w:t>以上，大大提高了我省耐药肺结核的治愈率。</w:t>
      </w:r>
    </w:p>
    <w:p w14:paraId="4EA35917" w14:textId="77777777" w:rsidR="00AC2315" w:rsidRDefault="00000000">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5</w:t>
      </w:r>
      <w:r>
        <w:rPr>
          <w:rFonts w:ascii="Times New Roman" w:eastAsia="仿宋" w:hAnsi="Times New Roman"/>
          <w:sz w:val="32"/>
          <w:szCs w:val="32"/>
        </w:rPr>
        <w:t>经济效益</w:t>
      </w:r>
    </w:p>
    <w:p w14:paraId="72F1DBFA" w14:textId="77777777" w:rsidR="00AC2315" w:rsidRDefault="00000000">
      <w:pPr>
        <w:spacing w:line="640" w:lineRule="exact"/>
        <w:ind w:firstLineChars="200" w:firstLine="640"/>
        <w:rPr>
          <w:rFonts w:ascii="Times New Roman" w:eastAsia="仿宋" w:hAnsi="Times New Roman"/>
          <w:color w:val="0D0D0D"/>
          <w:spacing w:val="2"/>
          <w:sz w:val="32"/>
          <w:szCs w:val="32"/>
        </w:rPr>
      </w:pPr>
      <w:r>
        <w:rPr>
          <w:rFonts w:ascii="Times New Roman" w:eastAsia="仿宋" w:hAnsi="Times New Roman" w:hint="eastAsia"/>
          <w:sz w:val="32"/>
          <w:szCs w:val="32"/>
        </w:rPr>
        <w:t>无</w:t>
      </w:r>
      <w:r>
        <w:rPr>
          <w:rFonts w:ascii="Times New Roman" w:eastAsia="仿宋" w:hAnsi="Times New Roman"/>
          <w:sz w:val="32"/>
          <w:szCs w:val="32"/>
        </w:rPr>
        <w:t>。</w:t>
      </w:r>
    </w:p>
    <w:p w14:paraId="0581FCBF" w14:textId="77777777" w:rsidR="00AC2315" w:rsidRDefault="00000000">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5</w:t>
      </w:r>
      <w:r>
        <w:rPr>
          <w:rFonts w:ascii="Times New Roman" w:eastAsia="仿宋" w:hAnsi="Times New Roman"/>
          <w:color w:val="0D0D0D"/>
          <w:spacing w:val="2"/>
          <w:sz w:val="32"/>
          <w:szCs w:val="32"/>
        </w:rPr>
        <w:t>、代表性论文目录</w:t>
      </w:r>
    </w:p>
    <w:tbl>
      <w:tblPr>
        <w:tblW w:w="5852"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001"/>
        <w:gridCol w:w="1933"/>
        <w:gridCol w:w="1235"/>
        <w:gridCol w:w="792"/>
        <w:gridCol w:w="740"/>
        <w:gridCol w:w="800"/>
        <w:gridCol w:w="606"/>
      </w:tblGrid>
      <w:tr w:rsidR="00AC2315" w14:paraId="1ADDD9C9" w14:textId="77777777">
        <w:trPr>
          <w:trHeight w:val="1511"/>
        </w:trPr>
        <w:tc>
          <w:tcPr>
            <w:tcW w:w="434" w:type="pct"/>
            <w:shd w:val="clear" w:color="auto" w:fill="auto"/>
            <w:vAlign w:val="center"/>
          </w:tcPr>
          <w:p w14:paraId="47241E37" w14:textId="77777777" w:rsidR="00AC2315" w:rsidRDefault="00000000">
            <w:pPr>
              <w:spacing w:before="33"/>
              <w:ind w:left="102" w:right="-20"/>
              <w:jc w:val="center"/>
              <w:rPr>
                <w:rFonts w:ascii="宋体" w:hAnsi="宋体" w:hint="eastAsia"/>
                <w:kern w:val="21"/>
                <w:szCs w:val="21"/>
              </w:rPr>
            </w:pPr>
            <w:r>
              <w:rPr>
                <w:rFonts w:ascii="宋体" w:hAnsi="宋体" w:hint="eastAsia"/>
                <w:kern w:val="21"/>
                <w:szCs w:val="21"/>
              </w:rPr>
              <w:t>序号</w:t>
            </w:r>
          </w:p>
        </w:tc>
        <w:tc>
          <w:tcPr>
            <w:tcW w:w="1502" w:type="pct"/>
            <w:shd w:val="clear" w:color="auto" w:fill="auto"/>
            <w:vAlign w:val="center"/>
          </w:tcPr>
          <w:p w14:paraId="31624352" w14:textId="77777777" w:rsidR="00AC2315" w:rsidRDefault="00000000">
            <w:pPr>
              <w:spacing w:before="33"/>
              <w:ind w:left="102" w:right="-20"/>
              <w:jc w:val="center"/>
              <w:rPr>
                <w:rFonts w:ascii="宋体" w:hAnsi="宋体" w:hint="eastAsia"/>
                <w:kern w:val="21"/>
                <w:szCs w:val="21"/>
              </w:rPr>
            </w:pPr>
            <w:r>
              <w:rPr>
                <w:rFonts w:ascii="宋体" w:hAnsi="宋体" w:hint="eastAsia"/>
                <w:kern w:val="21"/>
                <w:szCs w:val="21"/>
              </w:rPr>
              <w:t>论文专著名称</w:t>
            </w:r>
          </w:p>
        </w:tc>
        <w:tc>
          <w:tcPr>
            <w:tcW w:w="968" w:type="pct"/>
            <w:shd w:val="clear" w:color="auto" w:fill="auto"/>
            <w:vAlign w:val="center"/>
          </w:tcPr>
          <w:p w14:paraId="40F9FDC9" w14:textId="77777777" w:rsidR="00AC2315" w:rsidRDefault="00000000">
            <w:pPr>
              <w:spacing w:before="8"/>
              <w:jc w:val="center"/>
              <w:rPr>
                <w:rFonts w:ascii="宋体" w:hAnsi="宋体" w:hint="eastAsia"/>
                <w:kern w:val="21"/>
              </w:rPr>
            </w:pPr>
            <w:r>
              <w:rPr>
                <w:rFonts w:ascii="宋体" w:hAnsi="宋体" w:hint="eastAsia"/>
                <w:kern w:val="21"/>
              </w:rPr>
              <w:t>年卷（期）页码（xx年xx卷xx页）</w:t>
            </w:r>
          </w:p>
        </w:tc>
        <w:tc>
          <w:tcPr>
            <w:tcW w:w="618" w:type="pct"/>
            <w:shd w:val="clear" w:color="auto" w:fill="auto"/>
            <w:vAlign w:val="center"/>
          </w:tcPr>
          <w:p w14:paraId="71F19D3E" w14:textId="77777777" w:rsidR="00AC2315" w:rsidRDefault="00000000">
            <w:pPr>
              <w:ind w:leftChars="48" w:left="101" w:right="67"/>
              <w:jc w:val="center"/>
              <w:rPr>
                <w:rFonts w:ascii="宋体" w:hAnsi="宋体" w:hint="eastAsia"/>
                <w:kern w:val="21"/>
                <w:szCs w:val="21"/>
              </w:rPr>
            </w:pPr>
            <w:r>
              <w:rPr>
                <w:rFonts w:ascii="宋体" w:hAnsi="宋体" w:hint="eastAsia"/>
                <w:kern w:val="21"/>
                <w:szCs w:val="21"/>
              </w:rPr>
              <w:t>第一作者</w:t>
            </w:r>
          </w:p>
        </w:tc>
        <w:tc>
          <w:tcPr>
            <w:tcW w:w="397" w:type="pct"/>
            <w:shd w:val="clear" w:color="auto" w:fill="auto"/>
            <w:vAlign w:val="center"/>
          </w:tcPr>
          <w:p w14:paraId="696111D3" w14:textId="77777777" w:rsidR="00AC2315" w:rsidRDefault="00000000">
            <w:pPr>
              <w:ind w:leftChars="48" w:left="101" w:right="67"/>
              <w:jc w:val="center"/>
              <w:rPr>
                <w:rFonts w:ascii="宋体" w:hAnsi="宋体" w:hint="eastAsia"/>
                <w:kern w:val="21"/>
                <w:szCs w:val="21"/>
              </w:rPr>
            </w:pPr>
            <w:r>
              <w:rPr>
                <w:rFonts w:ascii="宋体" w:hAnsi="宋体" w:hint="eastAsia"/>
                <w:kern w:val="21"/>
                <w:szCs w:val="21"/>
              </w:rPr>
              <w:t>通讯作者</w:t>
            </w:r>
          </w:p>
        </w:tc>
        <w:tc>
          <w:tcPr>
            <w:tcW w:w="371" w:type="pct"/>
            <w:shd w:val="clear" w:color="auto" w:fill="auto"/>
            <w:vAlign w:val="center"/>
          </w:tcPr>
          <w:p w14:paraId="51D71E81" w14:textId="77777777" w:rsidR="00AC2315" w:rsidRDefault="00000000">
            <w:pPr>
              <w:ind w:leftChars="48" w:left="101" w:right="67"/>
              <w:jc w:val="center"/>
              <w:rPr>
                <w:rFonts w:ascii="宋体" w:hAnsi="宋体" w:hint="eastAsia"/>
                <w:kern w:val="21"/>
                <w:szCs w:val="21"/>
              </w:rPr>
            </w:pPr>
            <w:r>
              <w:rPr>
                <w:rFonts w:ascii="宋体" w:hAnsi="宋体"/>
                <w:kern w:val="21"/>
                <w:szCs w:val="21"/>
              </w:rPr>
              <w:t>影响因子</w:t>
            </w:r>
          </w:p>
        </w:tc>
        <w:tc>
          <w:tcPr>
            <w:tcW w:w="401" w:type="pct"/>
            <w:shd w:val="clear" w:color="auto" w:fill="auto"/>
            <w:vAlign w:val="center"/>
          </w:tcPr>
          <w:p w14:paraId="574A0176" w14:textId="77777777" w:rsidR="00AC2315" w:rsidRDefault="00000000">
            <w:pPr>
              <w:ind w:leftChars="48" w:left="101" w:right="67"/>
              <w:jc w:val="center"/>
              <w:rPr>
                <w:rFonts w:ascii="宋体" w:hAnsi="宋体" w:hint="eastAsia"/>
                <w:kern w:val="21"/>
                <w:szCs w:val="21"/>
              </w:rPr>
            </w:pPr>
            <w:r>
              <w:rPr>
                <w:rFonts w:ascii="宋体" w:hAnsi="宋体"/>
                <w:kern w:val="21"/>
                <w:szCs w:val="21"/>
              </w:rPr>
              <w:t>SCI他引次数</w:t>
            </w:r>
          </w:p>
        </w:tc>
        <w:tc>
          <w:tcPr>
            <w:tcW w:w="304" w:type="pct"/>
            <w:shd w:val="clear" w:color="auto" w:fill="auto"/>
            <w:vAlign w:val="center"/>
          </w:tcPr>
          <w:p w14:paraId="32089385" w14:textId="77777777" w:rsidR="00AC2315" w:rsidRDefault="00000000">
            <w:pPr>
              <w:ind w:leftChars="48" w:left="101" w:right="67"/>
              <w:jc w:val="center"/>
              <w:rPr>
                <w:rFonts w:ascii="宋体" w:hAnsi="宋体" w:hint="eastAsia"/>
                <w:kern w:val="21"/>
                <w:szCs w:val="21"/>
              </w:rPr>
            </w:pPr>
            <w:r>
              <w:rPr>
                <w:rFonts w:ascii="宋体" w:hAnsi="宋体" w:hint="eastAsia"/>
                <w:kern w:val="21"/>
                <w:szCs w:val="21"/>
              </w:rPr>
              <w:t>他引</w:t>
            </w:r>
          </w:p>
          <w:p w14:paraId="217C56F5" w14:textId="77777777" w:rsidR="00AC2315" w:rsidRDefault="00000000">
            <w:pPr>
              <w:ind w:leftChars="48" w:left="101" w:right="67"/>
              <w:jc w:val="center"/>
              <w:rPr>
                <w:rFonts w:ascii="宋体" w:hAnsi="宋体" w:hint="eastAsia"/>
                <w:kern w:val="21"/>
                <w:szCs w:val="21"/>
              </w:rPr>
            </w:pPr>
            <w:r>
              <w:rPr>
                <w:rFonts w:ascii="宋体" w:hAnsi="宋体" w:hint="eastAsia"/>
                <w:kern w:val="21"/>
                <w:szCs w:val="21"/>
              </w:rPr>
              <w:t>总次数</w:t>
            </w:r>
          </w:p>
        </w:tc>
      </w:tr>
      <w:tr w:rsidR="00AC2315" w14:paraId="7783194F" w14:textId="77777777">
        <w:trPr>
          <w:trHeight w:val="544"/>
        </w:trPr>
        <w:tc>
          <w:tcPr>
            <w:tcW w:w="434" w:type="pct"/>
            <w:shd w:val="clear" w:color="auto" w:fill="auto"/>
            <w:vAlign w:val="center"/>
          </w:tcPr>
          <w:p w14:paraId="591536C6" w14:textId="77777777" w:rsidR="00AC2315" w:rsidRDefault="00000000">
            <w:pPr>
              <w:jc w:val="center"/>
              <w:rPr>
                <w:rFonts w:ascii="宋体" w:hAnsi="宋体" w:hint="eastAsia"/>
                <w:kern w:val="21"/>
                <w:szCs w:val="21"/>
              </w:rPr>
            </w:pPr>
            <w:r>
              <w:rPr>
                <w:rFonts w:ascii="宋体" w:hAnsi="宋体" w:hint="eastAsia"/>
                <w:kern w:val="21"/>
                <w:szCs w:val="21"/>
              </w:rPr>
              <w:t>1</w:t>
            </w:r>
          </w:p>
        </w:tc>
        <w:tc>
          <w:tcPr>
            <w:tcW w:w="1502" w:type="pct"/>
            <w:shd w:val="clear" w:color="auto" w:fill="auto"/>
            <w:vAlign w:val="center"/>
          </w:tcPr>
          <w:p w14:paraId="71DDCCF5" w14:textId="77777777" w:rsidR="00AC2315" w:rsidRDefault="00000000">
            <w:pPr>
              <w:jc w:val="center"/>
              <w:rPr>
                <w:rFonts w:ascii="宋体" w:hAnsi="宋体" w:hint="eastAsia"/>
                <w:kern w:val="21"/>
                <w:szCs w:val="21"/>
              </w:rPr>
            </w:pPr>
            <w:r>
              <w:rPr>
                <w:rFonts w:ascii="宋体" w:hAnsi="宋体" w:hint="eastAsia"/>
                <w:kern w:val="21"/>
                <w:szCs w:val="21"/>
              </w:rPr>
              <w:t>Early outcome and safety of bedaquiline-containing regimens for treatment of MDR- and XDR-TB in China: a multicentre study</w:t>
            </w:r>
          </w:p>
        </w:tc>
        <w:tc>
          <w:tcPr>
            <w:tcW w:w="968" w:type="pct"/>
            <w:shd w:val="clear" w:color="auto" w:fill="auto"/>
            <w:vAlign w:val="center"/>
          </w:tcPr>
          <w:p w14:paraId="00E78F7F" w14:textId="77777777" w:rsidR="00AC2315" w:rsidRDefault="00000000">
            <w:pPr>
              <w:jc w:val="center"/>
              <w:rPr>
                <w:rFonts w:ascii="宋体" w:hAnsi="宋体" w:hint="eastAsia"/>
                <w:kern w:val="21"/>
                <w:szCs w:val="21"/>
              </w:rPr>
            </w:pPr>
            <w:r>
              <w:rPr>
                <w:rFonts w:ascii="宋体" w:hAnsi="宋体" w:hint="eastAsia"/>
                <w:kern w:val="21"/>
                <w:szCs w:val="21"/>
              </w:rPr>
              <w:t>2021年27卷，页码 597-602</w:t>
            </w:r>
          </w:p>
        </w:tc>
        <w:tc>
          <w:tcPr>
            <w:tcW w:w="618" w:type="pct"/>
            <w:shd w:val="clear" w:color="auto" w:fill="auto"/>
            <w:vAlign w:val="center"/>
          </w:tcPr>
          <w:p w14:paraId="3426B648" w14:textId="77777777" w:rsidR="00AC2315" w:rsidRDefault="00000000">
            <w:pPr>
              <w:jc w:val="center"/>
              <w:rPr>
                <w:rFonts w:ascii="宋体" w:hAnsi="宋体" w:hint="eastAsia"/>
                <w:kern w:val="21"/>
                <w:szCs w:val="21"/>
              </w:rPr>
            </w:pPr>
            <w:r>
              <w:rPr>
                <w:rFonts w:ascii="宋体" w:hAnsi="宋体" w:hint="eastAsia"/>
                <w:kern w:val="21"/>
                <w:szCs w:val="21"/>
              </w:rPr>
              <w:t>高静韬，高孟秋，谢莉，吴桂辉，陈巍，陈裕，</w:t>
            </w:r>
            <w:r>
              <w:rPr>
                <w:rFonts w:ascii="宋体" w:hAnsi="宋体" w:hint="eastAsia"/>
                <w:b/>
                <w:bCs/>
                <w:kern w:val="21"/>
                <w:szCs w:val="21"/>
              </w:rPr>
              <w:t>裴异</w:t>
            </w:r>
            <w:r>
              <w:rPr>
                <w:rFonts w:ascii="宋体" w:hAnsi="宋体" w:hint="eastAsia"/>
                <w:kern w:val="21"/>
                <w:szCs w:val="21"/>
              </w:rPr>
              <w:t>，李国保，刘宇红，舒薇</w:t>
            </w:r>
          </w:p>
        </w:tc>
        <w:tc>
          <w:tcPr>
            <w:tcW w:w="397" w:type="pct"/>
            <w:shd w:val="clear" w:color="auto" w:fill="auto"/>
            <w:vAlign w:val="center"/>
          </w:tcPr>
          <w:p w14:paraId="04613EE7" w14:textId="77777777" w:rsidR="00AC2315" w:rsidRDefault="00000000">
            <w:pPr>
              <w:jc w:val="center"/>
              <w:rPr>
                <w:rFonts w:ascii="宋体" w:hAnsi="宋体" w:hint="eastAsia"/>
                <w:kern w:val="21"/>
                <w:szCs w:val="21"/>
              </w:rPr>
            </w:pPr>
            <w:proofErr w:type="gramStart"/>
            <w:r>
              <w:rPr>
                <w:rFonts w:ascii="宋体" w:hAnsi="宋体" w:hint="eastAsia"/>
                <w:kern w:val="21"/>
                <w:szCs w:val="21"/>
              </w:rPr>
              <w:t>逄</w:t>
            </w:r>
            <w:proofErr w:type="gramEnd"/>
            <w:r>
              <w:rPr>
                <w:rFonts w:ascii="宋体" w:hAnsi="宋体" w:hint="eastAsia"/>
                <w:kern w:val="21"/>
                <w:szCs w:val="21"/>
              </w:rPr>
              <w:t>宇，李亮</w:t>
            </w:r>
          </w:p>
        </w:tc>
        <w:tc>
          <w:tcPr>
            <w:tcW w:w="371" w:type="pct"/>
            <w:shd w:val="clear" w:color="auto" w:fill="auto"/>
            <w:vAlign w:val="center"/>
          </w:tcPr>
          <w:p w14:paraId="449D70EE" w14:textId="77777777" w:rsidR="00AC2315" w:rsidRDefault="00000000">
            <w:pPr>
              <w:jc w:val="center"/>
              <w:rPr>
                <w:rFonts w:ascii="宋体" w:hAnsi="宋体" w:hint="eastAsia"/>
                <w:kern w:val="21"/>
                <w:szCs w:val="21"/>
              </w:rPr>
            </w:pPr>
            <w:r>
              <w:rPr>
                <w:rFonts w:ascii="宋体" w:hAnsi="宋体" w:hint="eastAsia"/>
                <w:kern w:val="21"/>
                <w:szCs w:val="21"/>
              </w:rPr>
              <w:t>13.31</w:t>
            </w:r>
          </w:p>
        </w:tc>
        <w:tc>
          <w:tcPr>
            <w:tcW w:w="401" w:type="pct"/>
            <w:shd w:val="clear" w:color="auto" w:fill="auto"/>
            <w:vAlign w:val="center"/>
          </w:tcPr>
          <w:p w14:paraId="3D588398" w14:textId="77777777" w:rsidR="00AC2315" w:rsidRDefault="00000000">
            <w:pPr>
              <w:jc w:val="center"/>
              <w:rPr>
                <w:rFonts w:ascii="宋体" w:hAnsi="宋体" w:hint="eastAsia"/>
                <w:kern w:val="21"/>
                <w:szCs w:val="21"/>
              </w:rPr>
            </w:pPr>
            <w:r>
              <w:rPr>
                <w:rFonts w:ascii="宋体" w:hAnsi="宋体" w:hint="eastAsia"/>
                <w:kern w:val="21"/>
                <w:szCs w:val="21"/>
              </w:rPr>
              <w:t>22</w:t>
            </w:r>
          </w:p>
        </w:tc>
        <w:tc>
          <w:tcPr>
            <w:tcW w:w="304" w:type="pct"/>
            <w:shd w:val="clear" w:color="auto" w:fill="auto"/>
            <w:vAlign w:val="center"/>
          </w:tcPr>
          <w:p w14:paraId="713388F1" w14:textId="77777777" w:rsidR="00AC2315" w:rsidRDefault="00000000">
            <w:pPr>
              <w:jc w:val="center"/>
              <w:rPr>
                <w:rFonts w:ascii="宋体" w:hAnsi="宋体" w:hint="eastAsia"/>
                <w:kern w:val="21"/>
                <w:szCs w:val="21"/>
              </w:rPr>
            </w:pPr>
            <w:r>
              <w:rPr>
                <w:rFonts w:ascii="宋体" w:hAnsi="宋体" w:hint="eastAsia"/>
                <w:kern w:val="21"/>
                <w:szCs w:val="21"/>
              </w:rPr>
              <w:t>22</w:t>
            </w:r>
          </w:p>
        </w:tc>
      </w:tr>
      <w:tr w:rsidR="00AC2315" w14:paraId="6EE782CA" w14:textId="77777777">
        <w:trPr>
          <w:trHeight w:val="544"/>
        </w:trPr>
        <w:tc>
          <w:tcPr>
            <w:tcW w:w="434" w:type="pct"/>
            <w:shd w:val="clear" w:color="auto" w:fill="auto"/>
            <w:vAlign w:val="center"/>
          </w:tcPr>
          <w:p w14:paraId="2DE3FAB5" w14:textId="77777777" w:rsidR="00AC2315" w:rsidRDefault="00000000">
            <w:pPr>
              <w:spacing w:before="33"/>
              <w:ind w:left="102" w:right="-20"/>
              <w:jc w:val="center"/>
              <w:rPr>
                <w:rFonts w:ascii="宋体" w:hAnsi="宋体" w:hint="eastAsia"/>
                <w:kern w:val="21"/>
                <w:szCs w:val="21"/>
              </w:rPr>
            </w:pPr>
            <w:r>
              <w:rPr>
                <w:rFonts w:ascii="宋体" w:hAnsi="宋体" w:hint="eastAsia"/>
                <w:kern w:val="21"/>
                <w:szCs w:val="21"/>
              </w:rPr>
              <w:t>2</w:t>
            </w:r>
          </w:p>
        </w:tc>
        <w:tc>
          <w:tcPr>
            <w:tcW w:w="1502" w:type="pct"/>
            <w:shd w:val="clear" w:color="auto" w:fill="auto"/>
            <w:vAlign w:val="center"/>
          </w:tcPr>
          <w:p w14:paraId="56CD7351" w14:textId="77777777" w:rsidR="00AC2315" w:rsidRDefault="00000000">
            <w:pPr>
              <w:jc w:val="center"/>
              <w:rPr>
                <w:rFonts w:ascii="宋体" w:hAnsi="宋体" w:hint="eastAsia"/>
                <w:kern w:val="21"/>
                <w:szCs w:val="21"/>
              </w:rPr>
            </w:pPr>
            <w:r>
              <w:rPr>
                <w:rFonts w:ascii="宋体" w:hAnsi="宋体" w:hint="eastAsia"/>
                <w:kern w:val="21"/>
                <w:szCs w:val="21"/>
              </w:rPr>
              <w:t>Bedaquiline-containing regimens in patients with pulmonary multidrug-resistant tuberculosis in China: focus on the safety</w:t>
            </w:r>
          </w:p>
        </w:tc>
        <w:tc>
          <w:tcPr>
            <w:tcW w:w="968" w:type="pct"/>
            <w:shd w:val="clear" w:color="auto" w:fill="auto"/>
            <w:vAlign w:val="center"/>
          </w:tcPr>
          <w:p w14:paraId="59D12310" w14:textId="77777777" w:rsidR="00AC2315" w:rsidRDefault="00000000">
            <w:pPr>
              <w:jc w:val="center"/>
              <w:rPr>
                <w:rFonts w:ascii="宋体" w:hAnsi="宋体" w:hint="eastAsia"/>
                <w:kern w:val="21"/>
                <w:szCs w:val="21"/>
              </w:rPr>
            </w:pPr>
            <w:r>
              <w:rPr>
                <w:rFonts w:ascii="宋体" w:hAnsi="宋体" w:hint="eastAsia"/>
                <w:kern w:val="21"/>
                <w:szCs w:val="21"/>
              </w:rPr>
              <w:t>(2021) 10:32</w:t>
            </w:r>
          </w:p>
        </w:tc>
        <w:tc>
          <w:tcPr>
            <w:tcW w:w="618" w:type="pct"/>
            <w:shd w:val="clear" w:color="auto" w:fill="auto"/>
            <w:vAlign w:val="center"/>
          </w:tcPr>
          <w:p w14:paraId="453DCA67" w14:textId="77777777" w:rsidR="00AC2315" w:rsidRDefault="00000000">
            <w:pPr>
              <w:jc w:val="center"/>
              <w:rPr>
                <w:rFonts w:ascii="宋体" w:hAnsi="宋体" w:hint="eastAsia"/>
                <w:kern w:val="21"/>
                <w:szCs w:val="21"/>
              </w:rPr>
            </w:pPr>
            <w:r>
              <w:rPr>
                <w:rFonts w:ascii="宋体" w:hAnsi="宋体" w:hint="eastAsia"/>
                <w:kern w:val="21"/>
                <w:szCs w:val="21"/>
              </w:rPr>
              <w:t>高静韬，杜鹃 ,吴桂辉,</w:t>
            </w:r>
            <w:r>
              <w:rPr>
                <w:rFonts w:ascii="宋体" w:hAnsi="宋体" w:hint="eastAsia"/>
                <w:b/>
                <w:bCs/>
                <w:kern w:val="21"/>
                <w:szCs w:val="21"/>
              </w:rPr>
              <w:t>裴异</w:t>
            </w:r>
            <w:r>
              <w:rPr>
                <w:rFonts w:ascii="宋体" w:hAnsi="宋体" w:hint="eastAsia"/>
                <w:kern w:val="21"/>
                <w:szCs w:val="21"/>
              </w:rPr>
              <w:t>, 高孟秋 , Leonardo Martinez</w:t>
            </w:r>
          </w:p>
        </w:tc>
        <w:tc>
          <w:tcPr>
            <w:tcW w:w="397" w:type="pct"/>
            <w:shd w:val="clear" w:color="auto" w:fill="auto"/>
            <w:vAlign w:val="center"/>
          </w:tcPr>
          <w:p w14:paraId="4C7D47F1" w14:textId="77777777" w:rsidR="00AC2315" w:rsidRDefault="00000000">
            <w:pPr>
              <w:jc w:val="center"/>
              <w:rPr>
                <w:rFonts w:ascii="宋体" w:hAnsi="宋体" w:hint="eastAsia"/>
                <w:kern w:val="21"/>
                <w:szCs w:val="21"/>
              </w:rPr>
            </w:pPr>
            <w:r>
              <w:rPr>
                <w:rFonts w:ascii="宋体" w:hAnsi="宋体" w:hint="eastAsia"/>
                <w:kern w:val="21"/>
                <w:szCs w:val="21"/>
              </w:rPr>
              <w:t>刘宇红</w:t>
            </w:r>
          </w:p>
        </w:tc>
        <w:tc>
          <w:tcPr>
            <w:tcW w:w="371" w:type="pct"/>
            <w:shd w:val="clear" w:color="auto" w:fill="auto"/>
            <w:vAlign w:val="center"/>
          </w:tcPr>
          <w:p w14:paraId="2587E18B" w14:textId="77777777" w:rsidR="00AC2315" w:rsidRDefault="00000000">
            <w:pPr>
              <w:jc w:val="center"/>
              <w:rPr>
                <w:rFonts w:ascii="宋体" w:hAnsi="宋体" w:hint="eastAsia"/>
                <w:kern w:val="21"/>
                <w:szCs w:val="21"/>
              </w:rPr>
            </w:pPr>
            <w:r>
              <w:rPr>
                <w:rFonts w:ascii="宋体" w:hAnsi="宋体" w:hint="eastAsia"/>
                <w:kern w:val="21"/>
                <w:szCs w:val="21"/>
              </w:rPr>
              <w:t>10.485</w:t>
            </w:r>
          </w:p>
        </w:tc>
        <w:tc>
          <w:tcPr>
            <w:tcW w:w="401" w:type="pct"/>
            <w:shd w:val="clear" w:color="auto" w:fill="auto"/>
            <w:vAlign w:val="center"/>
          </w:tcPr>
          <w:p w14:paraId="213F2E8E" w14:textId="77777777" w:rsidR="00AC2315" w:rsidRDefault="00000000">
            <w:pPr>
              <w:jc w:val="center"/>
              <w:rPr>
                <w:rFonts w:ascii="宋体" w:hAnsi="宋体" w:hint="eastAsia"/>
                <w:kern w:val="21"/>
                <w:szCs w:val="21"/>
              </w:rPr>
            </w:pPr>
            <w:r>
              <w:rPr>
                <w:rFonts w:ascii="宋体" w:hAnsi="宋体" w:hint="eastAsia"/>
                <w:kern w:val="21"/>
                <w:szCs w:val="21"/>
              </w:rPr>
              <w:t>9</w:t>
            </w:r>
          </w:p>
        </w:tc>
        <w:tc>
          <w:tcPr>
            <w:tcW w:w="304" w:type="pct"/>
            <w:shd w:val="clear" w:color="auto" w:fill="auto"/>
            <w:vAlign w:val="center"/>
          </w:tcPr>
          <w:p w14:paraId="32CC2EF9" w14:textId="77777777" w:rsidR="00AC2315" w:rsidRDefault="00000000">
            <w:pPr>
              <w:jc w:val="center"/>
              <w:rPr>
                <w:rFonts w:ascii="宋体" w:hAnsi="宋体" w:hint="eastAsia"/>
                <w:kern w:val="21"/>
                <w:szCs w:val="21"/>
              </w:rPr>
            </w:pPr>
            <w:r>
              <w:rPr>
                <w:rFonts w:ascii="宋体" w:hAnsi="宋体" w:hint="eastAsia"/>
                <w:kern w:val="21"/>
                <w:szCs w:val="21"/>
              </w:rPr>
              <w:t>9</w:t>
            </w:r>
          </w:p>
        </w:tc>
      </w:tr>
      <w:tr w:rsidR="00AC2315" w14:paraId="1A99363B" w14:textId="77777777">
        <w:trPr>
          <w:trHeight w:val="544"/>
        </w:trPr>
        <w:tc>
          <w:tcPr>
            <w:tcW w:w="434" w:type="pct"/>
            <w:shd w:val="clear" w:color="auto" w:fill="auto"/>
            <w:vAlign w:val="center"/>
          </w:tcPr>
          <w:p w14:paraId="19E51E32" w14:textId="77777777" w:rsidR="00AC2315" w:rsidRDefault="00000000">
            <w:pPr>
              <w:spacing w:before="33"/>
              <w:ind w:left="102" w:right="-20"/>
              <w:jc w:val="center"/>
              <w:rPr>
                <w:rFonts w:ascii="宋体" w:hAnsi="宋体" w:hint="eastAsia"/>
                <w:kern w:val="21"/>
                <w:szCs w:val="21"/>
              </w:rPr>
            </w:pPr>
            <w:r>
              <w:rPr>
                <w:rFonts w:ascii="宋体" w:hAnsi="宋体" w:hint="eastAsia"/>
                <w:kern w:val="21"/>
                <w:szCs w:val="21"/>
              </w:rPr>
              <w:t>3</w:t>
            </w:r>
          </w:p>
        </w:tc>
        <w:tc>
          <w:tcPr>
            <w:tcW w:w="1502" w:type="pct"/>
            <w:shd w:val="clear" w:color="auto" w:fill="auto"/>
            <w:vAlign w:val="center"/>
          </w:tcPr>
          <w:p w14:paraId="4F93FBFA" w14:textId="77777777" w:rsidR="00AC2315" w:rsidRDefault="00000000">
            <w:pPr>
              <w:jc w:val="center"/>
              <w:rPr>
                <w:rFonts w:ascii="宋体" w:hAnsi="宋体" w:hint="eastAsia"/>
                <w:kern w:val="21"/>
                <w:szCs w:val="21"/>
              </w:rPr>
            </w:pPr>
            <w:r>
              <w:rPr>
                <w:rFonts w:ascii="宋体" w:hAnsi="宋体" w:hint="eastAsia"/>
                <w:kern w:val="21"/>
                <w:szCs w:val="21"/>
              </w:rPr>
              <w:t xml:space="preserve">Interim Effectiveness and Safety Comparison of Bedaquiline-Containing Regimens for Treatment of </w:t>
            </w:r>
            <w:r>
              <w:rPr>
                <w:rFonts w:ascii="宋体" w:hAnsi="宋体" w:hint="eastAsia"/>
                <w:kern w:val="21"/>
                <w:szCs w:val="21"/>
              </w:rPr>
              <w:lastRenderedPageBreak/>
              <w:t>Diabetic Versus Non-Diabetic MDR/XDR-TB Patients in China: A Multicenter Retrospective Cohort Study</w:t>
            </w:r>
          </w:p>
        </w:tc>
        <w:tc>
          <w:tcPr>
            <w:tcW w:w="968" w:type="pct"/>
            <w:shd w:val="clear" w:color="auto" w:fill="auto"/>
            <w:vAlign w:val="center"/>
          </w:tcPr>
          <w:p w14:paraId="05855AF4" w14:textId="77777777" w:rsidR="00AC2315" w:rsidRDefault="00000000">
            <w:pPr>
              <w:jc w:val="center"/>
              <w:rPr>
                <w:rFonts w:ascii="宋体" w:hAnsi="宋体" w:hint="eastAsia"/>
                <w:kern w:val="21"/>
                <w:szCs w:val="21"/>
              </w:rPr>
            </w:pPr>
            <w:r>
              <w:rPr>
                <w:rFonts w:ascii="宋体" w:hAnsi="宋体" w:hint="eastAsia"/>
                <w:kern w:val="21"/>
                <w:szCs w:val="21"/>
              </w:rPr>
              <w:lastRenderedPageBreak/>
              <w:t>2021年10卷，页码457-470</w:t>
            </w:r>
          </w:p>
        </w:tc>
        <w:tc>
          <w:tcPr>
            <w:tcW w:w="618" w:type="pct"/>
            <w:shd w:val="clear" w:color="auto" w:fill="auto"/>
            <w:vAlign w:val="center"/>
          </w:tcPr>
          <w:p w14:paraId="3B17164D" w14:textId="77777777" w:rsidR="00AC2315" w:rsidRDefault="00000000">
            <w:pPr>
              <w:jc w:val="center"/>
              <w:rPr>
                <w:rFonts w:ascii="宋体" w:hAnsi="宋体" w:hint="eastAsia"/>
                <w:kern w:val="21"/>
                <w:szCs w:val="21"/>
              </w:rPr>
            </w:pPr>
            <w:r>
              <w:rPr>
                <w:rFonts w:ascii="宋体" w:hAnsi="宋体" w:hint="eastAsia"/>
                <w:kern w:val="21"/>
                <w:szCs w:val="21"/>
              </w:rPr>
              <w:t>施利，高静韬，高孟秋</w:t>
            </w:r>
          </w:p>
        </w:tc>
        <w:tc>
          <w:tcPr>
            <w:tcW w:w="397" w:type="pct"/>
            <w:shd w:val="clear" w:color="auto" w:fill="auto"/>
            <w:vAlign w:val="center"/>
          </w:tcPr>
          <w:p w14:paraId="065215E8" w14:textId="77777777" w:rsidR="00AC2315" w:rsidRDefault="00000000">
            <w:pPr>
              <w:jc w:val="center"/>
              <w:rPr>
                <w:rFonts w:ascii="宋体" w:hAnsi="宋体" w:hint="eastAsia"/>
                <w:kern w:val="21"/>
                <w:szCs w:val="21"/>
              </w:rPr>
            </w:pPr>
            <w:r>
              <w:rPr>
                <w:rFonts w:ascii="宋体" w:hAnsi="宋体" w:hint="eastAsia"/>
                <w:kern w:val="21"/>
                <w:szCs w:val="21"/>
              </w:rPr>
              <w:t>裴异，刘宇红</w:t>
            </w:r>
          </w:p>
        </w:tc>
        <w:tc>
          <w:tcPr>
            <w:tcW w:w="371" w:type="pct"/>
            <w:shd w:val="clear" w:color="auto" w:fill="auto"/>
            <w:vAlign w:val="center"/>
          </w:tcPr>
          <w:p w14:paraId="1534C4CB" w14:textId="77777777" w:rsidR="00AC2315" w:rsidRDefault="00000000">
            <w:pPr>
              <w:jc w:val="center"/>
              <w:rPr>
                <w:rFonts w:ascii="宋体" w:hAnsi="宋体" w:hint="eastAsia"/>
                <w:kern w:val="21"/>
                <w:szCs w:val="21"/>
              </w:rPr>
            </w:pPr>
            <w:r>
              <w:rPr>
                <w:rFonts w:ascii="宋体" w:hAnsi="宋体" w:hint="eastAsia"/>
                <w:kern w:val="21"/>
                <w:szCs w:val="21"/>
              </w:rPr>
              <w:t>6.119</w:t>
            </w:r>
          </w:p>
        </w:tc>
        <w:tc>
          <w:tcPr>
            <w:tcW w:w="401" w:type="pct"/>
            <w:shd w:val="clear" w:color="auto" w:fill="auto"/>
            <w:vAlign w:val="center"/>
          </w:tcPr>
          <w:p w14:paraId="44277181" w14:textId="77777777" w:rsidR="00AC2315" w:rsidRDefault="00000000">
            <w:pPr>
              <w:jc w:val="center"/>
              <w:rPr>
                <w:rFonts w:ascii="宋体" w:hAnsi="宋体" w:hint="eastAsia"/>
                <w:kern w:val="21"/>
                <w:szCs w:val="21"/>
              </w:rPr>
            </w:pPr>
            <w:r>
              <w:rPr>
                <w:rFonts w:ascii="宋体" w:hAnsi="宋体" w:hint="eastAsia"/>
                <w:kern w:val="21"/>
                <w:szCs w:val="21"/>
              </w:rPr>
              <w:t>9</w:t>
            </w:r>
          </w:p>
        </w:tc>
        <w:tc>
          <w:tcPr>
            <w:tcW w:w="304" w:type="pct"/>
            <w:shd w:val="clear" w:color="auto" w:fill="auto"/>
            <w:vAlign w:val="center"/>
          </w:tcPr>
          <w:p w14:paraId="42FF0A78" w14:textId="77777777" w:rsidR="00AC2315" w:rsidRDefault="00000000">
            <w:pPr>
              <w:jc w:val="center"/>
              <w:rPr>
                <w:rFonts w:ascii="宋体" w:hAnsi="宋体" w:hint="eastAsia"/>
                <w:kern w:val="21"/>
                <w:szCs w:val="21"/>
              </w:rPr>
            </w:pPr>
            <w:r>
              <w:rPr>
                <w:rFonts w:ascii="宋体" w:hAnsi="宋体" w:hint="eastAsia"/>
                <w:kern w:val="21"/>
                <w:szCs w:val="21"/>
              </w:rPr>
              <w:t>9</w:t>
            </w:r>
          </w:p>
        </w:tc>
      </w:tr>
      <w:tr w:rsidR="00AC2315" w14:paraId="37BC4CE7" w14:textId="77777777">
        <w:trPr>
          <w:trHeight w:val="544"/>
        </w:trPr>
        <w:tc>
          <w:tcPr>
            <w:tcW w:w="434" w:type="pct"/>
            <w:shd w:val="clear" w:color="auto" w:fill="auto"/>
            <w:vAlign w:val="center"/>
          </w:tcPr>
          <w:p w14:paraId="1496E0B3" w14:textId="77777777" w:rsidR="00AC2315" w:rsidRDefault="00000000">
            <w:pPr>
              <w:spacing w:before="33"/>
              <w:ind w:left="102" w:right="-20"/>
              <w:jc w:val="center"/>
              <w:rPr>
                <w:rFonts w:ascii="宋体" w:hAnsi="宋体" w:hint="eastAsia"/>
                <w:kern w:val="21"/>
                <w:szCs w:val="21"/>
              </w:rPr>
            </w:pPr>
            <w:r>
              <w:rPr>
                <w:rFonts w:ascii="宋体" w:hAnsi="宋体" w:hint="eastAsia"/>
                <w:kern w:val="21"/>
                <w:szCs w:val="21"/>
              </w:rPr>
              <w:t>4</w:t>
            </w:r>
          </w:p>
        </w:tc>
        <w:tc>
          <w:tcPr>
            <w:tcW w:w="1502" w:type="pct"/>
            <w:shd w:val="clear" w:color="auto" w:fill="auto"/>
            <w:vAlign w:val="center"/>
          </w:tcPr>
          <w:p w14:paraId="156436A0" w14:textId="77777777" w:rsidR="00AC2315" w:rsidRDefault="00000000">
            <w:pPr>
              <w:jc w:val="center"/>
              <w:rPr>
                <w:rFonts w:ascii="宋体" w:hAnsi="宋体" w:hint="eastAsia"/>
                <w:kern w:val="21"/>
                <w:szCs w:val="21"/>
              </w:rPr>
            </w:pPr>
            <w:r>
              <w:rPr>
                <w:rFonts w:ascii="宋体" w:hAnsi="宋体" w:hint="eastAsia"/>
                <w:kern w:val="21"/>
                <w:szCs w:val="21"/>
              </w:rPr>
              <w:t>Emergence of nontuberculous mycobacteria infections during bedaquiline-containing regimens in multidrug-resistant tuberculosis patients</w:t>
            </w:r>
          </w:p>
        </w:tc>
        <w:tc>
          <w:tcPr>
            <w:tcW w:w="968" w:type="pct"/>
            <w:shd w:val="clear" w:color="auto" w:fill="auto"/>
            <w:vAlign w:val="center"/>
          </w:tcPr>
          <w:p w14:paraId="6450DFFB" w14:textId="77777777" w:rsidR="00AC2315" w:rsidRDefault="00000000">
            <w:pPr>
              <w:jc w:val="center"/>
              <w:rPr>
                <w:rFonts w:ascii="宋体" w:hAnsi="宋体" w:hint="eastAsia"/>
                <w:kern w:val="21"/>
                <w:szCs w:val="21"/>
              </w:rPr>
            </w:pPr>
            <w:r>
              <w:rPr>
                <w:rFonts w:ascii="宋体" w:hAnsi="宋体" w:hint="eastAsia"/>
                <w:kern w:val="21"/>
                <w:szCs w:val="21"/>
              </w:rPr>
              <w:t>2020年10卷，页码196–198</w:t>
            </w:r>
          </w:p>
        </w:tc>
        <w:tc>
          <w:tcPr>
            <w:tcW w:w="618" w:type="pct"/>
            <w:shd w:val="clear" w:color="auto" w:fill="auto"/>
            <w:vAlign w:val="center"/>
          </w:tcPr>
          <w:p w14:paraId="781CFB61" w14:textId="77777777" w:rsidR="00AC2315" w:rsidRDefault="00000000">
            <w:pPr>
              <w:jc w:val="center"/>
              <w:rPr>
                <w:rFonts w:ascii="宋体" w:hAnsi="宋体" w:hint="eastAsia"/>
                <w:kern w:val="21"/>
                <w:szCs w:val="21"/>
              </w:rPr>
            </w:pPr>
            <w:r>
              <w:rPr>
                <w:rFonts w:ascii="宋体" w:hAnsi="宋体" w:hint="eastAsia"/>
                <w:kern w:val="21"/>
                <w:szCs w:val="21"/>
              </w:rPr>
              <w:t>高静韬，</w:t>
            </w:r>
            <w:r>
              <w:rPr>
                <w:rFonts w:ascii="宋体" w:hAnsi="宋体" w:hint="eastAsia"/>
                <w:b/>
                <w:bCs/>
                <w:kern w:val="21"/>
                <w:szCs w:val="21"/>
              </w:rPr>
              <w:t>裴异</w:t>
            </w:r>
            <w:r>
              <w:rPr>
                <w:rFonts w:ascii="宋体" w:hAnsi="宋体" w:hint="eastAsia"/>
                <w:kern w:val="21"/>
                <w:szCs w:val="21"/>
              </w:rPr>
              <w:t>，严晓峰，石国民，李同心，高孟秋</w:t>
            </w:r>
          </w:p>
        </w:tc>
        <w:tc>
          <w:tcPr>
            <w:tcW w:w="397" w:type="pct"/>
            <w:shd w:val="clear" w:color="auto" w:fill="auto"/>
            <w:vAlign w:val="center"/>
          </w:tcPr>
          <w:p w14:paraId="528A0753" w14:textId="77777777" w:rsidR="00AC2315" w:rsidRDefault="00000000">
            <w:pPr>
              <w:jc w:val="center"/>
              <w:rPr>
                <w:rFonts w:ascii="宋体" w:hAnsi="宋体" w:hint="eastAsia"/>
                <w:kern w:val="21"/>
                <w:szCs w:val="21"/>
              </w:rPr>
            </w:pPr>
            <w:proofErr w:type="gramStart"/>
            <w:r>
              <w:rPr>
                <w:rFonts w:ascii="宋体" w:hAnsi="宋体" w:hint="eastAsia"/>
                <w:kern w:val="21"/>
                <w:szCs w:val="21"/>
              </w:rPr>
              <w:t>逄</w:t>
            </w:r>
            <w:proofErr w:type="gramEnd"/>
            <w:r>
              <w:rPr>
                <w:rFonts w:ascii="宋体" w:hAnsi="宋体" w:hint="eastAsia"/>
                <w:kern w:val="21"/>
                <w:szCs w:val="21"/>
              </w:rPr>
              <w:t>宇，李亮</w:t>
            </w:r>
          </w:p>
        </w:tc>
        <w:tc>
          <w:tcPr>
            <w:tcW w:w="371" w:type="pct"/>
            <w:shd w:val="clear" w:color="auto" w:fill="auto"/>
            <w:vAlign w:val="center"/>
          </w:tcPr>
          <w:p w14:paraId="737DFBFB" w14:textId="77777777" w:rsidR="00AC2315" w:rsidRDefault="00000000">
            <w:pPr>
              <w:jc w:val="center"/>
              <w:rPr>
                <w:rFonts w:ascii="宋体" w:hAnsi="宋体" w:hint="eastAsia"/>
                <w:kern w:val="21"/>
                <w:szCs w:val="21"/>
              </w:rPr>
            </w:pPr>
            <w:r>
              <w:rPr>
                <w:rFonts w:ascii="宋体" w:hAnsi="宋体" w:hint="eastAsia"/>
                <w:kern w:val="21"/>
                <w:szCs w:val="21"/>
              </w:rPr>
              <w:t>3.626</w:t>
            </w:r>
          </w:p>
        </w:tc>
        <w:tc>
          <w:tcPr>
            <w:tcW w:w="401" w:type="pct"/>
            <w:shd w:val="clear" w:color="auto" w:fill="auto"/>
            <w:vAlign w:val="center"/>
          </w:tcPr>
          <w:p w14:paraId="729E082E" w14:textId="77777777" w:rsidR="00AC2315" w:rsidRDefault="00000000">
            <w:pPr>
              <w:jc w:val="center"/>
              <w:rPr>
                <w:rFonts w:ascii="宋体" w:hAnsi="宋体" w:hint="eastAsia"/>
                <w:kern w:val="21"/>
                <w:szCs w:val="21"/>
              </w:rPr>
            </w:pPr>
            <w:r>
              <w:rPr>
                <w:rFonts w:ascii="宋体" w:hAnsi="宋体" w:hint="eastAsia"/>
                <w:kern w:val="21"/>
                <w:szCs w:val="21"/>
              </w:rPr>
              <w:t>2</w:t>
            </w:r>
          </w:p>
        </w:tc>
        <w:tc>
          <w:tcPr>
            <w:tcW w:w="304" w:type="pct"/>
            <w:shd w:val="clear" w:color="auto" w:fill="auto"/>
            <w:vAlign w:val="center"/>
          </w:tcPr>
          <w:p w14:paraId="7AAC831B" w14:textId="77777777" w:rsidR="00AC2315" w:rsidRDefault="00000000">
            <w:pPr>
              <w:jc w:val="center"/>
              <w:rPr>
                <w:rFonts w:ascii="宋体" w:hAnsi="宋体" w:hint="eastAsia"/>
                <w:kern w:val="21"/>
                <w:szCs w:val="21"/>
              </w:rPr>
            </w:pPr>
            <w:r>
              <w:rPr>
                <w:rFonts w:ascii="宋体" w:hAnsi="宋体" w:hint="eastAsia"/>
                <w:kern w:val="21"/>
                <w:szCs w:val="21"/>
              </w:rPr>
              <w:t>2</w:t>
            </w:r>
          </w:p>
        </w:tc>
      </w:tr>
      <w:tr w:rsidR="00AC2315" w14:paraId="349AFF92" w14:textId="77777777">
        <w:trPr>
          <w:trHeight w:val="544"/>
        </w:trPr>
        <w:tc>
          <w:tcPr>
            <w:tcW w:w="434" w:type="pct"/>
            <w:shd w:val="clear" w:color="auto" w:fill="auto"/>
            <w:vAlign w:val="center"/>
          </w:tcPr>
          <w:p w14:paraId="3F634530" w14:textId="77777777" w:rsidR="00AC2315" w:rsidRDefault="00000000">
            <w:pPr>
              <w:spacing w:before="33"/>
              <w:ind w:left="102" w:right="-20"/>
              <w:jc w:val="center"/>
              <w:rPr>
                <w:rFonts w:ascii="宋体" w:hAnsi="宋体" w:hint="eastAsia"/>
                <w:kern w:val="21"/>
                <w:szCs w:val="21"/>
              </w:rPr>
            </w:pPr>
            <w:r>
              <w:rPr>
                <w:rFonts w:ascii="宋体" w:hAnsi="宋体" w:hint="eastAsia"/>
                <w:kern w:val="21"/>
                <w:szCs w:val="21"/>
              </w:rPr>
              <w:t>5</w:t>
            </w:r>
          </w:p>
        </w:tc>
        <w:tc>
          <w:tcPr>
            <w:tcW w:w="1502" w:type="pct"/>
            <w:shd w:val="clear" w:color="auto" w:fill="auto"/>
            <w:vAlign w:val="center"/>
          </w:tcPr>
          <w:p w14:paraId="08C5E98F" w14:textId="77777777" w:rsidR="00AC2315" w:rsidRDefault="00000000">
            <w:pPr>
              <w:jc w:val="center"/>
              <w:rPr>
                <w:rFonts w:ascii="宋体" w:hAnsi="宋体" w:hint="eastAsia"/>
                <w:kern w:val="21"/>
                <w:szCs w:val="21"/>
              </w:rPr>
            </w:pPr>
            <w:r>
              <w:rPr>
                <w:rFonts w:ascii="宋体" w:hAnsi="宋体" w:hint="eastAsia"/>
                <w:kern w:val="21"/>
                <w:szCs w:val="21"/>
              </w:rPr>
              <w:t>含贝达喹啉方案</w:t>
            </w:r>
            <w:proofErr w:type="gramStart"/>
            <w:r>
              <w:rPr>
                <w:rFonts w:ascii="宋体" w:hAnsi="宋体" w:hint="eastAsia"/>
                <w:kern w:val="21"/>
                <w:szCs w:val="21"/>
              </w:rPr>
              <w:t>治疗耐多药</w:t>
            </w:r>
            <w:proofErr w:type="gramEnd"/>
            <w:r>
              <w:rPr>
                <w:rFonts w:ascii="宋体" w:hAnsi="宋体" w:hint="eastAsia"/>
                <w:kern w:val="21"/>
                <w:szCs w:val="21"/>
              </w:rPr>
              <w:t>/广泛耐药结核病中期疗效前瞻性队列研究</w:t>
            </w:r>
          </w:p>
        </w:tc>
        <w:tc>
          <w:tcPr>
            <w:tcW w:w="968" w:type="pct"/>
            <w:shd w:val="clear" w:color="auto" w:fill="auto"/>
            <w:vAlign w:val="center"/>
          </w:tcPr>
          <w:p w14:paraId="2B166040" w14:textId="77777777" w:rsidR="00AC2315" w:rsidRDefault="00000000">
            <w:pPr>
              <w:jc w:val="center"/>
              <w:rPr>
                <w:rFonts w:ascii="宋体" w:hAnsi="宋体" w:hint="eastAsia"/>
                <w:kern w:val="21"/>
                <w:szCs w:val="21"/>
              </w:rPr>
            </w:pPr>
            <w:r>
              <w:rPr>
                <w:rFonts w:ascii="宋体" w:hAnsi="宋体" w:hint="eastAsia"/>
                <w:kern w:val="21"/>
                <w:szCs w:val="21"/>
              </w:rPr>
              <w:t>2021年20卷12期，页码1102-1108</w:t>
            </w:r>
          </w:p>
        </w:tc>
        <w:tc>
          <w:tcPr>
            <w:tcW w:w="618" w:type="pct"/>
            <w:shd w:val="clear" w:color="auto" w:fill="auto"/>
            <w:vAlign w:val="center"/>
          </w:tcPr>
          <w:p w14:paraId="74B354C1" w14:textId="77777777" w:rsidR="00AC2315" w:rsidRDefault="00000000">
            <w:pPr>
              <w:jc w:val="center"/>
              <w:rPr>
                <w:rFonts w:ascii="宋体" w:hAnsi="宋体" w:hint="eastAsia"/>
                <w:kern w:val="21"/>
                <w:szCs w:val="21"/>
              </w:rPr>
            </w:pPr>
            <w:r>
              <w:rPr>
                <w:rFonts w:ascii="宋体" w:hAnsi="宋体" w:hint="eastAsia"/>
                <w:b/>
                <w:bCs/>
                <w:kern w:val="21"/>
                <w:szCs w:val="21"/>
              </w:rPr>
              <w:t>裴异</w:t>
            </w:r>
          </w:p>
        </w:tc>
        <w:tc>
          <w:tcPr>
            <w:tcW w:w="397" w:type="pct"/>
            <w:shd w:val="clear" w:color="auto" w:fill="auto"/>
            <w:vAlign w:val="center"/>
          </w:tcPr>
          <w:p w14:paraId="097D843E" w14:textId="77777777" w:rsidR="00AC2315" w:rsidRDefault="00000000">
            <w:pPr>
              <w:jc w:val="center"/>
              <w:rPr>
                <w:rFonts w:ascii="宋体" w:hAnsi="宋体" w:hint="eastAsia"/>
                <w:kern w:val="21"/>
                <w:szCs w:val="21"/>
              </w:rPr>
            </w:pPr>
            <w:r>
              <w:rPr>
                <w:rFonts w:ascii="宋体" w:hAnsi="宋体" w:hint="eastAsia"/>
                <w:kern w:val="21"/>
                <w:szCs w:val="21"/>
              </w:rPr>
              <w:t>施利</w:t>
            </w:r>
          </w:p>
        </w:tc>
        <w:tc>
          <w:tcPr>
            <w:tcW w:w="371" w:type="pct"/>
            <w:shd w:val="clear" w:color="auto" w:fill="auto"/>
            <w:vAlign w:val="center"/>
          </w:tcPr>
          <w:p w14:paraId="16C2115B" w14:textId="77777777" w:rsidR="00AC2315" w:rsidRDefault="00000000">
            <w:pPr>
              <w:jc w:val="center"/>
              <w:rPr>
                <w:rFonts w:ascii="宋体" w:hAnsi="宋体" w:hint="eastAsia"/>
                <w:kern w:val="21"/>
                <w:szCs w:val="21"/>
              </w:rPr>
            </w:pPr>
            <w:r>
              <w:rPr>
                <w:rFonts w:ascii="宋体" w:hAnsi="宋体" w:hint="eastAsia"/>
                <w:kern w:val="21"/>
                <w:szCs w:val="21"/>
              </w:rPr>
              <w:t>4.26</w:t>
            </w:r>
          </w:p>
        </w:tc>
        <w:tc>
          <w:tcPr>
            <w:tcW w:w="401" w:type="pct"/>
            <w:shd w:val="clear" w:color="auto" w:fill="auto"/>
            <w:vAlign w:val="center"/>
          </w:tcPr>
          <w:p w14:paraId="378B65DC" w14:textId="77777777" w:rsidR="00AC2315" w:rsidRDefault="00000000">
            <w:pPr>
              <w:jc w:val="center"/>
              <w:rPr>
                <w:rFonts w:ascii="宋体" w:hAnsi="宋体" w:hint="eastAsia"/>
                <w:kern w:val="21"/>
                <w:szCs w:val="21"/>
              </w:rPr>
            </w:pPr>
            <w:r>
              <w:rPr>
                <w:rFonts w:ascii="宋体" w:hAnsi="宋体" w:hint="eastAsia"/>
                <w:kern w:val="21"/>
                <w:szCs w:val="21"/>
              </w:rPr>
              <w:t>12</w:t>
            </w:r>
          </w:p>
        </w:tc>
        <w:tc>
          <w:tcPr>
            <w:tcW w:w="304" w:type="pct"/>
            <w:shd w:val="clear" w:color="auto" w:fill="auto"/>
            <w:vAlign w:val="center"/>
          </w:tcPr>
          <w:p w14:paraId="7E3A29AF" w14:textId="77777777" w:rsidR="00AC2315" w:rsidRDefault="00000000">
            <w:pPr>
              <w:jc w:val="center"/>
              <w:rPr>
                <w:rFonts w:ascii="宋体" w:hAnsi="宋体" w:hint="eastAsia"/>
                <w:kern w:val="21"/>
                <w:szCs w:val="21"/>
              </w:rPr>
            </w:pPr>
            <w:r>
              <w:rPr>
                <w:rFonts w:ascii="宋体" w:hAnsi="宋体" w:hint="eastAsia"/>
                <w:kern w:val="21"/>
                <w:szCs w:val="21"/>
              </w:rPr>
              <w:t>12</w:t>
            </w:r>
          </w:p>
        </w:tc>
      </w:tr>
      <w:tr w:rsidR="00AC2315" w14:paraId="15A998D1" w14:textId="77777777">
        <w:trPr>
          <w:trHeight w:val="544"/>
        </w:trPr>
        <w:tc>
          <w:tcPr>
            <w:tcW w:w="434" w:type="pct"/>
            <w:shd w:val="clear" w:color="auto" w:fill="auto"/>
            <w:vAlign w:val="center"/>
          </w:tcPr>
          <w:p w14:paraId="57EBC3DB" w14:textId="77777777" w:rsidR="00AC2315" w:rsidRDefault="00000000">
            <w:pPr>
              <w:spacing w:before="33"/>
              <w:ind w:left="102" w:right="-20"/>
              <w:jc w:val="center"/>
              <w:rPr>
                <w:rFonts w:ascii="宋体" w:hAnsi="宋体" w:hint="eastAsia"/>
                <w:kern w:val="21"/>
                <w:szCs w:val="21"/>
              </w:rPr>
            </w:pPr>
            <w:r>
              <w:rPr>
                <w:rFonts w:ascii="宋体" w:hAnsi="宋体" w:hint="eastAsia"/>
                <w:kern w:val="21"/>
                <w:szCs w:val="21"/>
              </w:rPr>
              <w:t>6</w:t>
            </w:r>
          </w:p>
        </w:tc>
        <w:tc>
          <w:tcPr>
            <w:tcW w:w="1502" w:type="pct"/>
            <w:shd w:val="clear" w:color="auto" w:fill="auto"/>
            <w:vAlign w:val="center"/>
          </w:tcPr>
          <w:p w14:paraId="77389F0F" w14:textId="77777777" w:rsidR="00AC2315" w:rsidRDefault="00000000">
            <w:pPr>
              <w:jc w:val="center"/>
              <w:rPr>
                <w:rFonts w:ascii="宋体" w:hAnsi="宋体" w:hint="eastAsia"/>
                <w:kern w:val="21"/>
                <w:szCs w:val="21"/>
              </w:rPr>
            </w:pPr>
            <w:r>
              <w:rPr>
                <w:rFonts w:ascii="宋体" w:hAnsi="宋体" w:hint="eastAsia"/>
                <w:kern w:val="21"/>
                <w:szCs w:val="21"/>
              </w:rPr>
              <w:t>含贝达喹啉方案治疗４４例痰菌</w:t>
            </w:r>
            <w:proofErr w:type="gramStart"/>
            <w:r>
              <w:rPr>
                <w:rFonts w:ascii="宋体" w:hAnsi="宋体" w:hint="eastAsia"/>
                <w:kern w:val="21"/>
                <w:szCs w:val="21"/>
              </w:rPr>
              <w:t>阳性耐多药</w:t>
            </w:r>
            <w:proofErr w:type="gramEnd"/>
            <w:r>
              <w:rPr>
                <w:rFonts w:ascii="宋体" w:hAnsi="宋体" w:hint="eastAsia"/>
                <w:kern w:val="21"/>
                <w:szCs w:val="21"/>
              </w:rPr>
              <w:t>／ 广泛耐药肺结核２４周疗效分析</w:t>
            </w:r>
          </w:p>
        </w:tc>
        <w:tc>
          <w:tcPr>
            <w:tcW w:w="968" w:type="pct"/>
            <w:shd w:val="clear" w:color="auto" w:fill="auto"/>
            <w:vAlign w:val="center"/>
          </w:tcPr>
          <w:p w14:paraId="4942E4AB" w14:textId="77777777" w:rsidR="00AC2315" w:rsidRDefault="00000000">
            <w:pPr>
              <w:jc w:val="center"/>
              <w:rPr>
                <w:rFonts w:ascii="宋体" w:hAnsi="宋体" w:hint="eastAsia"/>
                <w:kern w:val="21"/>
                <w:szCs w:val="21"/>
              </w:rPr>
            </w:pPr>
            <w:r>
              <w:rPr>
                <w:rFonts w:ascii="宋体" w:hAnsi="宋体" w:hint="eastAsia"/>
                <w:kern w:val="21"/>
                <w:szCs w:val="21"/>
              </w:rPr>
              <w:t>2021年43卷第11期，页码1139-1145</w:t>
            </w:r>
          </w:p>
        </w:tc>
        <w:tc>
          <w:tcPr>
            <w:tcW w:w="618" w:type="pct"/>
            <w:shd w:val="clear" w:color="auto" w:fill="auto"/>
            <w:vAlign w:val="center"/>
          </w:tcPr>
          <w:p w14:paraId="7A76D1AD" w14:textId="77777777" w:rsidR="00AC2315" w:rsidRDefault="00000000">
            <w:pPr>
              <w:jc w:val="center"/>
              <w:rPr>
                <w:rFonts w:ascii="宋体" w:hAnsi="宋体" w:hint="eastAsia"/>
                <w:kern w:val="21"/>
                <w:szCs w:val="21"/>
              </w:rPr>
            </w:pPr>
            <w:r>
              <w:rPr>
                <w:rFonts w:ascii="宋体" w:hAnsi="宋体" w:hint="eastAsia"/>
                <w:b/>
                <w:bCs/>
                <w:kern w:val="21"/>
                <w:szCs w:val="21"/>
              </w:rPr>
              <w:t>裴异</w:t>
            </w:r>
          </w:p>
        </w:tc>
        <w:tc>
          <w:tcPr>
            <w:tcW w:w="397" w:type="pct"/>
            <w:shd w:val="clear" w:color="auto" w:fill="auto"/>
            <w:vAlign w:val="center"/>
          </w:tcPr>
          <w:p w14:paraId="49135D3F" w14:textId="77777777" w:rsidR="00AC2315" w:rsidRDefault="00000000">
            <w:pPr>
              <w:jc w:val="center"/>
              <w:rPr>
                <w:rFonts w:ascii="宋体" w:hAnsi="宋体" w:hint="eastAsia"/>
                <w:kern w:val="21"/>
                <w:szCs w:val="21"/>
              </w:rPr>
            </w:pPr>
            <w:r>
              <w:rPr>
                <w:rFonts w:ascii="宋体" w:hAnsi="宋体" w:hint="eastAsia"/>
                <w:kern w:val="21"/>
                <w:szCs w:val="21"/>
              </w:rPr>
              <w:t>高静韬，施利</w:t>
            </w:r>
          </w:p>
        </w:tc>
        <w:tc>
          <w:tcPr>
            <w:tcW w:w="371" w:type="pct"/>
            <w:shd w:val="clear" w:color="auto" w:fill="auto"/>
            <w:vAlign w:val="center"/>
          </w:tcPr>
          <w:p w14:paraId="77606104" w14:textId="77777777" w:rsidR="00AC2315" w:rsidRDefault="00000000">
            <w:pPr>
              <w:jc w:val="center"/>
              <w:rPr>
                <w:rFonts w:ascii="宋体" w:hAnsi="宋体" w:hint="eastAsia"/>
                <w:kern w:val="21"/>
                <w:szCs w:val="21"/>
              </w:rPr>
            </w:pPr>
            <w:r>
              <w:rPr>
                <w:rFonts w:ascii="宋体" w:hAnsi="宋体" w:hint="eastAsia"/>
                <w:kern w:val="21"/>
                <w:szCs w:val="21"/>
              </w:rPr>
              <w:t>2.54</w:t>
            </w:r>
          </w:p>
        </w:tc>
        <w:tc>
          <w:tcPr>
            <w:tcW w:w="401" w:type="pct"/>
            <w:shd w:val="clear" w:color="auto" w:fill="auto"/>
            <w:vAlign w:val="center"/>
          </w:tcPr>
          <w:p w14:paraId="017C94C0" w14:textId="77777777" w:rsidR="00AC2315" w:rsidRDefault="00000000">
            <w:pPr>
              <w:jc w:val="center"/>
              <w:rPr>
                <w:rFonts w:ascii="宋体" w:hAnsi="宋体" w:hint="eastAsia"/>
                <w:kern w:val="21"/>
                <w:szCs w:val="21"/>
              </w:rPr>
            </w:pPr>
            <w:r>
              <w:rPr>
                <w:rFonts w:ascii="宋体" w:hAnsi="宋体" w:hint="eastAsia"/>
                <w:kern w:val="21"/>
                <w:szCs w:val="21"/>
              </w:rPr>
              <w:t>8</w:t>
            </w:r>
          </w:p>
        </w:tc>
        <w:tc>
          <w:tcPr>
            <w:tcW w:w="304" w:type="pct"/>
            <w:shd w:val="clear" w:color="auto" w:fill="auto"/>
            <w:vAlign w:val="center"/>
          </w:tcPr>
          <w:p w14:paraId="3D975CDF" w14:textId="77777777" w:rsidR="00AC2315" w:rsidRDefault="00000000">
            <w:pPr>
              <w:jc w:val="center"/>
              <w:rPr>
                <w:rFonts w:ascii="宋体" w:hAnsi="宋体" w:hint="eastAsia"/>
                <w:kern w:val="21"/>
                <w:szCs w:val="21"/>
              </w:rPr>
            </w:pPr>
            <w:r>
              <w:rPr>
                <w:rFonts w:ascii="宋体" w:hAnsi="宋体" w:hint="eastAsia"/>
                <w:kern w:val="21"/>
                <w:szCs w:val="21"/>
              </w:rPr>
              <w:t>8</w:t>
            </w:r>
          </w:p>
        </w:tc>
      </w:tr>
      <w:tr w:rsidR="00AC2315" w14:paraId="64EFE0DD" w14:textId="77777777">
        <w:trPr>
          <w:trHeight w:val="544"/>
        </w:trPr>
        <w:tc>
          <w:tcPr>
            <w:tcW w:w="434" w:type="pct"/>
            <w:shd w:val="clear" w:color="auto" w:fill="auto"/>
            <w:vAlign w:val="center"/>
          </w:tcPr>
          <w:p w14:paraId="0246ED85" w14:textId="77777777" w:rsidR="00AC2315" w:rsidRDefault="00000000">
            <w:pPr>
              <w:spacing w:before="33"/>
              <w:ind w:left="102" w:right="-20"/>
              <w:jc w:val="center"/>
              <w:rPr>
                <w:rFonts w:ascii="宋体" w:hAnsi="宋体" w:hint="eastAsia"/>
                <w:kern w:val="21"/>
                <w:szCs w:val="21"/>
              </w:rPr>
            </w:pPr>
            <w:r>
              <w:rPr>
                <w:rFonts w:ascii="宋体" w:hAnsi="宋体" w:hint="eastAsia"/>
                <w:kern w:val="21"/>
                <w:szCs w:val="21"/>
              </w:rPr>
              <w:t>7</w:t>
            </w:r>
          </w:p>
        </w:tc>
        <w:tc>
          <w:tcPr>
            <w:tcW w:w="1502" w:type="pct"/>
            <w:shd w:val="clear" w:color="auto" w:fill="auto"/>
            <w:vAlign w:val="center"/>
          </w:tcPr>
          <w:p w14:paraId="0B77CCE8" w14:textId="77777777" w:rsidR="00AC2315" w:rsidRDefault="00000000">
            <w:pPr>
              <w:jc w:val="center"/>
              <w:rPr>
                <w:rFonts w:ascii="宋体" w:hAnsi="宋体" w:hint="eastAsia"/>
                <w:kern w:val="21"/>
                <w:szCs w:val="21"/>
              </w:rPr>
            </w:pPr>
            <w:r>
              <w:rPr>
                <w:rFonts w:ascii="宋体" w:hAnsi="宋体" w:hint="eastAsia"/>
                <w:kern w:val="21"/>
                <w:szCs w:val="21"/>
              </w:rPr>
              <w:t>益肺养阴方治疗肺结核合并2型糖尿病患者的临床疗效分析</w:t>
            </w:r>
          </w:p>
        </w:tc>
        <w:tc>
          <w:tcPr>
            <w:tcW w:w="968" w:type="pct"/>
            <w:shd w:val="clear" w:color="auto" w:fill="auto"/>
            <w:vAlign w:val="center"/>
          </w:tcPr>
          <w:p w14:paraId="45F9B0AF" w14:textId="77777777" w:rsidR="00AC2315" w:rsidRDefault="00000000">
            <w:pPr>
              <w:jc w:val="center"/>
              <w:rPr>
                <w:rFonts w:ascii="宋体" w:hAnsi="宋体" w:hint="eastAsia"/>
                <w:kern w:val="21"/>
                <w:szCs w:val="21"/>
              </w:rPr>
            </w:pPr>
            <w:r>
              <w:rPr>
                <w:rFonts w:ascii="宋体" w:hAnsi="宋体" w:hint="eastAsia"/>
                <w:kern w:val="21"/>
                <w:szCs w:val="21"/>
              </w:rPr>
              <w:t>2022年20卷07期，页码1679-1683</w:t>
            </w:r>
          </w:p>
        </w:tc>
        <w:tc>
          <w:tcPr>
            <w:tcW w:w="618" w:type="pct"/>
            <w:shd w:val="clear" w:color="auto" w:fill="auto"/>
            <w:vAlign w:val="center"/>
          </w:tcPr>
          <w:p w14:paraId="5DB20A4D" w14:textId="77777777" w:rsidR="00AC2315" w:rsidRDefault="00000000">
            <w:pPr>
              <w:jc w:val="center"/>
              <w:rPr>
                <w:rFonts w:ascii="宋体" w:hAnsi="宋体" w:hint="eastAsia"/>
                <w:kern w:val="21"/>
                <w:szCs w:val="21"/>
              </w:rPr>
            </w:pPr>
            <w:r>
              <w:rPr>
                <w:rFonts w:ascii="宋体" w:hAnsi="宋体" w:hint="eastAsia"/>
                <w:kern w:val="21"/>
                <w:szCs w:val="21"/>
              </w:rPr>
              <w:t>施利</w:t>
            </w:r>
          </w:p>
        </w:tc>
        <w:tc>
          <w:tcPr>
            <w:tcW w:w="397" w:type="pct"/>
            <w:shd w:val="clear" w:color="auto" w:fill="auto"/>
            <w:vAlign w:val="center"/>
          </w:tcPr>
          <w:p w14:paraId="1AB04034" w14:textId="77777777" w:rsidR="00AC2315" w:rsidRDefault="00000000">
            <w:pPr>
              <w:jc w:val="center"/>
              <w:rPr>
                <w:rFonts w:ascii="宋体" w:hAnsi="宋体" w:hint="eastAsia"/>
                <w:kern w:val="21"/>
                <w:szCs w:val="21"/>
              </w:rPr>
            </w:pPr>
            <w:r>
              <w:rPr>
                <w:rFonts w:ascii="宋体" w:hAnsi="宋体" w:hint="eastAsia"/>
                <w:kern w:val="21"/>
                <w:szCs w:val="21"/>
              </w:rPr>
              <w:t>裴异</w:t>
            </w:r>
          </w:p>
        </w:tc>
        <w:tc>
          <w:tcPr>
            <w:tcW w:w="371" w:type="pct"/>
            <w:shd w:val="clear" w:color="auto" w:fill="auto"/>
            <w:vAlign w:val="center"/>
          </w:tcPr>
          <w:p w14:paraId="79FBFD2F" w14:textId="77777777" w:rsidR="00AC2315" w:rsidRDefault="00000000">
            <w:pPr>
              <w:jc w:val="center"/>
              <w:rPr>
                <w:rFonts w:ascii="宋体" w:hAnsi="宋体" w:hint="eastAsia"/>
                <w:kern w:val="21"/>
                <w:szCs w:val="21"/>
              </w:rPr>
            </w:pPr>
            <w:r>
              <w:rPr>
                <w:rFonts w:ascii="宋体" w:hAnsi="宋体" w:hint="eastAsia"/>
                <w:kern w:val="21"/>
                <w:szCs w:val="21"/>
              </w:rPr>
              <w:t>1.147</w:t>
            </w:r>
          </w:p>
        </w:tc>
        <w:tc>
          <w:tcPr>
            <w:tcW w:w="401" w:type="pct"/>
            <w:shd w:val="clear" w:color="auto" w:fill="auto"/>
            <w:vAlign w:val="center"/>
          </w:tcPr>
          <w:p w14:paraId="0BC38CF5" w14:textId="77777777" w:rsidR="00AC2315" w:rsidRDefault="00000000">
            <w:pPr>
              <w:jc w:val="center"/>
              <w:rPr>
                <w:rFonts w:ascii="宋体" w:hAnsi="宋体" w:hint="eastAsia"/>
                <w:kern w:val="21"/>
                <w:szCs w:val="21"/>
              </w:rPr>
            </w:pPr>
            <w:r>
              <w:rPr>
                <w:rFonts w:ascii="宋体" w:hAnsi="宋体" w:hint="eastAsia"/>
                <w:kern w:val="21"/>
                <w:szCs w:val="21"/>
              </w:rPr>
              <w:t>8</w:t>
            </w:r>
          </w:p>
        </w:tc>
        <w:tc>
          <w:tcPr>
            <w:tcW w:w="304" w:type="pct"/>
            <w:shd w:val="clear" w:color="auto" w:fill="auto"/>
            <w:vAlign w:val="center"/>
          </w:tcPr>
          <w:p w14:paraId="1165C7BC" w14:textId="77777777" w:rsidR="00AC2315" w:rsidRDefault="00000000">
            <w:pPr>
              <w:jc w:val="center"/>
              <w:rPr>
                <w:rFonts w:ascii="宋体" w:hAnsi="宋体" w:hint="eastAsia"/>
                <w:kern w:val="21"/>
                <w:szCs w:val="21"/>
              </w:rPr>
            </w:pPr>
            <w:r>
              <w:rPr>
                <w:rFonts w:ascii="宋体" w:hAnsi="宋体" w:hint="eastAsia"/>
                <w:kern w:val="21"/>
                <w:szCs w:val="21"/>
              </w:rPr>
              <w:t>8</w:t>
            </w:r>
          </w:p>
        </w:tc>
      </w:tr>
    </w:tbl>
    <w:p w14:paraId="3F290DD5" w14:textId="77777777" w:rsidR="00AC2315" w:rsidRDefault="00000000">
      <w:pPr>
        <w:numPr>
          <w:ilvl w:val="0"/>
          <w:numId w:val="2"/>
        </w:numPr>
        <w:spacing w:line="360" w:lineRule="auto"/>
        <w:ind w:firstLineChars="100" w:firstLine="324"/>
        <w:rPr>
          <w:rFonts w:ascii="Times New Roman" w:eastAsia="仿宋" w:hAnsi="Times New Roman"/>
          <w:color w:val="0D0D0D"/>
          <w:spacing w:val="2"/>
          <w:sz w:val="32"/>
          <w:szCs w:val="32"/>
        </w:rPr>
      </w:pPr>
      <w:r>
        <w:rPr>
          <w:rFonts w:ascii="Times New Roman" w:eastAsia="仿宋" w:hAnsi="Times New Roman" w:hint="eastAsia"/>
          <w:color w:val="0D0D0D"/>
          <w:spacing w:val="2"/>
          <w:sz w:val="32"/>
          <w:szCs w:val="32"/>
        </w:rPr>
        <w:t>科研基金计划、基金目录</w:t>
      </w:r>
    </w:p>
    <w:tbl>
      <w:tblPr>
        <w:tblStyle w:val="a9"/>
        <w:tblW w:w="9155" w:type="dxa"/>
        <w:tblLook w:val="04A0" w:firstRow="1" w:lastRow="0" w:firstColumn="1" w:lastColumn="0" w:noHBand="0" w:noVBand="1"/>
      </w:tblPr>
      <w:tblGrid>
        <w:gridCol w:w="1066"/>
        <w:gridCol w:w="2778"/>
        <w:gridCol w:w="5311"/>
      </w:tblGrid>
      <w:tr w:rsidR="00AC2315" w14:paraId="6DE8CD54" w14:textId="77777777">
        <w:tc>
          <w:tcPr>
            <w:tcW w:w="1066" w:type="dxa"/>
          </w:tcPr>
          <w:p w14:paraId="419CF584"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序号</w:t>
            </w:r>
          </w:p>
        </w:tc>
        <w:tc>
          <w:tcPr>
            <w:tcW w:w="2778" w:type="dxa"/>
          </w:tcPr>
          <w:p w14:paraId="1F1E3962"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基金、计划类别及编号</w:t>
            </w:r>
          </w:p>
        </w:tc>
        <w:tc>
          <w:tcPr>
            <w:tcW w:w="5311" w:type="dxa"/>
          </w:tcPr>
          <w:p w14:paraId="3D5859BA"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项目名称</w:t>
            </w:r>
          </w:p>
        </w:tc>
      </w:tr>
      <w:tr w:rsidR="00AC2315" w14:paraId="0848DA8D" w14:textId="77777777">
        <w:tc>
          <w:tcPr>
            <w:tcW w:w="1066" w:type="dxa"/>
          </w:tcPr>
          <w:p w14:paraId="6AABB7F4"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2778" w:type="dxa"/>
          </w:tcPr>
          <w:p w14:paraId="2CE09A26"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市级科研基金：kq1801145</w:t>
            </w:r>
          </w:p>
        </w:tc>
        <w:tc>
          <w:tcPr>
            <w:tcW w:w="5311" w:type="dxa"/>
          </w:tcPr>
          <w:p w14:paraId="2B58AC28"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贝达喹啉治疗</w:t>
            </w:r>
            <w:proofErr w:type="gramStart"/>
            <w:r>
              <w:rPr>
                <w:rFonts w:ascii="宋体" w:hAnsi="宋体" w:cs="宋体" w:hint="eastAsia"/>
                <w:color w:val="000000"/>
                <w:kern w:val="0"/>
                <w:szCs w:val="21"/>
              </w:rPr>
              <w:t>中国耐多药</w:t>
            </w:r>
            <w:proofErr w:type="gramEnd"/>
            <w:r>
              <w:rPr>
                <w:rFonts w:ascii="宋体" w:hAnsi="宋体" w:cs="宋体" w:hint="eastAsia"/>
                <w:color w:val="000000"/>
                <w:kern w:val="0"/>
                <w:szCs w:val="21"/>
              </w:rPr>
              <w:t>肺结核患者的有效性及安全性研究</w:t>
            </w:r>
          </w:p>
        </w:tc>
      </w:tr>
      <w:tr w:rsidR="00AC2315" w14:paraId="0DED014B" w14:textId="77777777">
        <w:tc>
          <w:tcPr>
            <w:tcW w:w="1066" w:type="dxa"/>
          </w:tcPr>
          <w:p w14:paraId="05786A95"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2778" w:type="dxa"/>
          </w:tcPr>
          <w:p w14:paraId="5A82EE88"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省卫生健康委：20201439</w:t>
            </w:r>
          </w:p>
        </w:tc>
        <w:tc>
          <w:tcPr>
            <w:tcW w:w="5311" w:type="dxa"/>
          </w:tcPr>
          <w:p w14:paraId="5FB9AEC3"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含贝达喹啉全口服方案治疗利福平耐药肺结核患者有效性和安全性真实世界研究</w:t>
            </w:r>
          </w:p>
        </w:tc>
      </w:tr>
      <w:tr w:rsidR="00AC2315" w14:paraId="6612695E" w14:textId="77777777">
        <w:tc>
          <w:tcPr>
            <w:tcW w:w="1066" w:type="dxa"/>
          </w:tcPr>
          <w:p w14:paraId="31133555"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2778" w:type="dxa"/>
          </w:tcPr>
          <w:p w14:paraId="0F2A8383"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湖南省中医药管理局：201890</w:t>
            </w:r>
          </w:p>
        </w:tc>
        <w:tc>
          <w:tcPr>
            <w:tcW w:w="5311" w:type="dxa"/>
          </w:tcPr>
          <w:p w14:paraId="5E63D74F"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益肺养阴方治疗</w:t>
            </w:r>
            <w:proofErr w:type="gramStart"/>
            <w:r>
              <w:rPr>
                <w:rFonts w:ascii="宋体" w:hAnsi="宋体" w:cs="宋体" w:hint="eastAsia"/>
                <w:color w:val="000000"/>
                <w:kern w:val="0"/>
                <w:szCs w:val="21"/>
              </w:rPr>
              <w:t>初治痰阳肺结核</w:t>
            </w:r>
            <w:proofErr w:type="gramEnd"/>
            <w:r>
              <w:rPr>
                <w:rFonts w:ascii="宋体" w:hAnsi="宋体" w:cs="宋体" w:hint="eastAsia"/>
                <w:color w:val="000000"/>
                <w:kern w:val="0"/>
                <w:szCs w:val="21"/>
              </w:rPr>
              <w:t>合并2型糖尿病临床研究</w:t>
            </w:r>
          </w:p>
        </w:tc>
      </w:tr>
    </w:tbl>
    <w:p w14:paraId="40DCF50F" w14:textId="77777777" w:rsidR="00AC2315" w:rsidRDefault="00AC2315">
      <w:pPr>
        <w:spacing w:line="360" w:lineRule="auto"/>
        <w:rPr>
          <w:rFonts w:ascii="Times New Roman" w:eastAsia="仿宋" w:hAnsi="Times New Roman"/>
          <w:color w:val="0D0D0D"/>
          <w:spacing w:val="2"/>
          <w:sz w:val="32"/>
          <w:szCs w:val="32"/>
        </w:rPr>
      </w:pPr>
    </w:p>
    <w:p w14:paraId="6F3C574E" w14:textId="77777777" w:rsidR="00AC2315" w:rsidRDefault="00000000">
      <w:pPr>
        <w:numPr>
          <w:ilvl w:val="0"/>
          <w:numId w:val="2"/>
        </w:numPr>
        <w:spacing w:line="360" w:lineRule="auto"/>
        <w:ind w:firstLineChars="100" w:firstLine="324"/>
        <w:rPr>
          <w:rFonts w:ascii="Times New Roman" w:eastAsia="仿宋" w:hAnsi="Times New Roman"/>
          <w:color w:val="0D0D0D"/>
          <w:spacing w:val="2"/>
          <w:sz w:val="32"/>
          <w:szCs w:val="32"/>
        </w:rPr>
      </w:pPr>
      <w:r>
        <w:rPr>
          <w:rFonts w:ascii="Times New Roman" w:eastAsia="仿宋" w:hAnsi="Times New Roman" w:hint="eastAsia"/>
          <w:color w:val="0D0D0D"/>
          <w:spacing w:val="2"/>
          <w:sz w:val="32"/>
          <w:szCs w:val="32"/>
        </w:rPr>
        <w:t>应用单位目录</w:t>
      </w:r>
    </w:p>
    <w:tbl>
      <w:tblPr>
        <w:tblStyle w:val="a9"/>
        <w:tblW w:w="0" w:type="auto"/>
        <w:tblLook w:val="04A0" w:firstRow="1" w:lastRow="0" w:firstColumn="1" w:lastColumn="0" w:noHBand="0" w:noVBand="1"/>
      </w:tblPr>
      <w:tblGrid>
        <w:gridCol w:w="1100"/>
        <w:gridCol w:w="7422"/>
      </w:tblGrid>
      <w:tr w:rsidR="00AC2315" w14:paraId="0E775760" w14:textId="77777777">
        <w:tc>
          <w:tcPr>
            <w:tcW w:w="1100" w:type="dxa"/>
          </w:tcPr>
          <w:p w14:paraId="7AA26F0C"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序号</w:t>
            </w:r>
          </w:p>
        </w:tc>
        <w:tc>
          <w:tcPr>
            <w:tcW w:w="7422" w:type="dxa"/>
          </w:tcPr>
          <w:p w14:paraId="05011C5C"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单位名称</w:t>
            </w:r>
          </w:p>
        </w:tc>
      </w:tr>
      <w:tr w:rsidR="00AC2315" w14:paraId="0F8D0E73" w14:textId="77777777">
        <w:tc>
          <w:tcPr>
            <w:tcW w:w="1100" w:type="dxa"/>
          </w:tcPr>
          <w:p w14:paraId="19B0A940"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7422" w:type="dxa"/>
          </w:tcPr>
          <w:p w14:paraId="567D46F8"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衡阳市第三人民医院</w:t>
            </w:r>
          </w:p>
        </w:tc>
      </w:tr>
      <w:tr w:rsidR="00AC2315" w14:paraId="00A77516" w14:textId="77777777">
        <w:tc>
          <w:tcPr>
            <w:tcW w:w="1100" w:type="dxa"/>
          </w:tcPr>
          <w:p w14:paraId="0917640F"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7422" w:type="dxa"/>
          </w:tcPr>
          <w:p w14:paraId="48447A3B"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株洲市中心医院</w:t>
            </w:r>
          </w:p>
        </w:tc>
      </w:tr>
      <w:tr w:rsidR="00AC2315" w14:paraId="311C47EF" w14:textId="77777777">
        <w:tc>
          <w:tcPr>
            <w:tcW w:w="1100" w:type="dxa"/>
          </w:tcPr>
          <w:p w14:paraId="7DF4FAE7"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7422" w:type="dxa"/>
          </w:tcPr>
          <w:p w14:paraId="7A5D024B"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湖南医药学院总医院</w:t>
            </w:r>
          </w:p>
        </w:tc>
      </w:tr>
      <w:tr w:rsidR="00AC2315" w14:paraId="6C1611BA" w14:textId="77777777">
        <w:tc>
          <w:tcPr>
            <w:tcW w:w="1100" w:type="dxa"/>
          </w:tcPr>
          <w:p w14:paraId="4FCFF1A7"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7422" w:type="dxa"/>
          </w:tcPr>
          <w:p w14:paraId="2A59CAAB"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郴州市第二人民医院</w:t>
            </w:r>
          </w:p>
        </w:tc>
      </w:tr>
      <w:tr w:rsidR="00AC2315" w14:paraId="673EDB07" w14:textId="77777777">
        <w:tc>
          <w:tcPr>
            <w:tcW w:w="1100" w:type="dxa"/>
          </w:tcPr>
          <w:p w14:paraId="19F07CED"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7422" w:type="dxa"/>
          </w:tcPr>
          <w:p w14:paraId="22DBE681"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湘西自治州人民医院</w:t>
            </w:r>
          </w:p>
        </w:tc>
      </w:tr>
      <w:tr w:rsidR="00AC2315" w14:paraId="3E270377" w14:textId="77777777">
        <w:tc>
          <w:tcPr>
            <w:tcW w:w="1100" w:type="dxa"/>
          </w:tcPr>
          <w:p w14:paraId="56D340F8"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7422" w:type="dxa"/>
          </w:tcPr>
          <w:p w14:paraId="00F3C94B"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常德市第一人民医院</w:t>
            </w:r>
          </w:p>
        </w:tc>
      </w:tr>
      <w:tr w:rsidR="00AC2315" w14:paraId="12B65D05" w14:textId="77777777">
        <w:tc>
          <w:tcPr>
            <w:tcW w:w="1100" w:type="dxa"/>
          </w:tcPr>
          <w:p w14:paraId="7601A872"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7422" w:type="dxa"/>
          </w:tcPr>
          <w:p w14:paraId="0773527F"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湘潭市中心医院</w:t>
            </w:r>
          </w:p>
        </w:tc>
      </w:tr>
      <w:tr w:rsidR="00AC2315" w14:paraId="24D7DB78" w14:textId="77777777">
        <w:tc>
          <w:tcPr>
            <w:tcW w:w="1100" w:type="dxa"/>
          </w:tcPr>
          <w:p w14:paraId="41E43012"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7422" w:type="dxa"/>
          </w:tcPr>
          <w:p w14:paraId="2E894CD6"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益阳市第四人民医院</w:t>
            </w:r>
          </w:p>
        </w:tc>
      </w:tr>
    </w:tbl>
    <w:p w14:paraId="3A9842E0" w14:textId="77777777" w:rsidR="00AC2315" w:rsidRDefault="00AC2315">
      <w:pPr>
        <w:spacing w:line="360" w:lineRule="auto"/>
        <w:rPr>
          <w:rFonts w:ascii="Times New Roman" w:eastAsia="仿宋" w:hAnsi="Times New Roman"/>
          <w:color w:val="0D0D0D"/>
          <w:spacing w:val="2"/>
          <w:sz w:val="32"/>
          <w:szCs w:val="32"/>
        </w:rPr>
      </w:pPr>
    </w:p>
    <w:p w14:paraId="2263DBE0" w14:textId="77777777" w:rsidR="00AC2315" w:rsidRDefault="00000000">
      <w:pPr>
        <w:numPr>
          <w:ilvl w:val="0"/>
          <w:numId w:val="2"/>
        </w:numPr>
        <w:spacing w:line="360" w:lineRule="auto"/>
        <w:ind w:firstLineChars="100" w:firstLine="324"/>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lastRenderedPageBreak/>
        <w:t>完成人情况，包括姓名、排名、职称、行政职务、工作单位、对本项目的贡献</w:t>
      </w:r>
    </w:p>
    <w:tbl>
      <w:tblPr>
        <w:tblW w:w="10000"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859"/>
        <w:gridCol w:w="1125"/>
        <w:gridCol w:w="1200"/>
        <w:gridCol w:w="1079"/>
        <w:gridCol w:w="4671"/>
      </w:tblGrid>
      <w:tr w:rsidR="00AC2315" w14:paraId="6CF73EA4" w14:textId="77777777">
        <w:tc>
          <w:tcPr>
            <w:tcW w:w="1066" w:type="dxa"/>
            <w:vAlign w:val="center"/>
          </w:tcPr>
          <w:p w14:paraId="11C6C3C2" w14:textId="77777777" w:rsidR="00AC2315"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姓名</w:t>
            </w:r>
          </w:p>
        </w:tc>
        <w:tc>
          <w:tcPr>
            <w:tcW w:w="859" w:type="dxa"/>
            <w:vAlign w:val="center"/>
          </w:tcPr>
          <w:p w14:paraId="319B30FA" w14:textId="77777777" w:rsidR="00AC2315"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排名</w:t>
            </w:r>
          </w:p>
        </w:tc>
        <w:tc>
          <w:tcPr>
            <w:tcW w:w="1125" w:type="dxa"/>
            <w:vAlign w:val="center"/>
          </w:tcPr>
          <w:p w14:paraId="40A07094" w14:textId="77777777" w:rsidR="00AC2315"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职称</w:t>
            </w:r>
          </w:p>
        </w:tc>
        <w:tc>
          <w:tcPr>
            <w:tcW w:w="1200" w:type="dxa"/>
            <w:vAlign w:val="center"/>
          </w:tcPr>
          <w:p w14:paraId="4D04D90A" w14:textId="77777777" w:rsidR="00AC2315"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行政职务</w:t>
            </w:r>
          </w:p>
        </w:tc>
        <w:tc>
          <w:tcPr>
            <w:tcW w:w="1079" w:type="dxa"/>
            <w:vAlign w:val="center"/>
          </w:tcPr>
          <w:p w14:paraId="18124631" w14:textId="77777777" w:rsidR="00AC2315"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工作单位</w:t>
            </w:r>
          </w:p>
        </w:tc>
        <w:tc>
          <w:tcPr>
            <w:tcW w:w="4671" w:type="dxa"/>
            <w:vAlign w:val="center"/>
          </w:tcPr>
          <w:p w14:paraId="0AF73B98" w14:textId="77777777" w:rsidR="00AC2315"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对本项目的贡献</w:t>
            </w:r>
          </w:p>
        </w:tc>
      </w:tr>
      <w:tr w:rsidR="00AC2315" w14:paraId="7E0C95F4" w14:textId="77777777">
        <w:tc>
          <w:tcPr>
            <w:tcW w:w="1066" w:type="dxa"/>
            <w:vAlign w:val="center"/>
          </w:tcPr>
          <w:p w14:paraId="18E342D4"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裴异</w:t>
            </w:r>
          </w:p>
        </w:tc>
        <w:tc>
          <w:tcPr>
            <w:tcW w:w="859" w:type="dxa"/>
            <w:vAlign w:val="center"/>
          </w:tcPr>
          <w:p w14:paraId="2E1E6F3C"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125" w:type="dxa"/>
            <w:vAlign w:val="center"/>
          </w:tcPr>
          <w:p w14:paraId="6A213F64"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主任医师</w:t>
            </w:r>
          </w:p>
        </w:tc>
        <w:tc>
          <w:tcPr>
            <w:tcW w:w="1200" w:type="dxa"/>
            <w:vAlign w:val="center"/>
          </w:tcPr>
          <w:p w14:paraId="43441D2B" w14:textId="77777777" w:rsidR="00AC2315" w:rsidRDefault="00AC2315">
            <w:pPr>
              <w:widowControl/>
              <w:jc w:val="center"/>
              <w:rPr>
                <w:rFonts w:ascii="宋体" w:hAnsi="宋体" w:cs="宋体" w:hint="eastAsia"/>
                <w:color w:val="000000"/>
                <w:kern w:val="0"/>
                <w:szCs w:val="21"/>
              </w:rPr>
            </w:pPr>
          </w:p>
          <w:p w14:paraId="17E8FA0F"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科主任</w:t>
            </w:r>
          </w:p>
          <w:p w14:paraId="5A103271" w14:textId="77777777" w:rsidR="00AC2315" w:rsidRDefault="00AC2315">
            <w:pPr>
              <w:widowControl/>
              <w:jc w:val="center"/>
              <w:rPr>
                <w:rFonts w:ascii="宋体" w:hAnsi="宋体" w:cs="宋体" w:hint="eastAsia"/>
                <w:color w:val="000000"/>
                <w:kern w:val="0"/>
                <w:szCs w:val="21"/>
              </w:rPr>
            </w:pPr>
          </w:p>
        </w:tc>
        <w:tc>
          <w:tcPr>
            <w:tcW w:w="1079" w:type="dxa"/>
            <w:vAlign w:val="center"/>
          </w:tcPr>
          <w:p w14:paraId="0CCE5D6D"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长沙市中心医院</w:t>
            </w:r>
          </w:p>
        </w:tc>
        <w:tc>
          <w:tcPr>
            <w:tcW w:w="4671" w:type="dxa"/>
            <w:vAlign w:val="center"/>
          </w:tcPr>
          <w:p w14:paraId="073DD3C1"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作为本项目课题负责人，负责本项目课题管理及技术指导，指导患者纳入，方案制定及调整等。同时负责对湖南省内及省外10余家结核专科医院使用贝达喹啉提供督导及远程会诊技术指导工作，指导规划论文的撰写与发表，为代表性论文1、2、4、5、6的第一作者，为代表性论文3、7的通讯作者。</w:t>
            </w:r>
          </w:p>
        </w:tc>
      </w:tr>
      <w:tr w:rsidR="00AC2315" w14:paraId="3531AB8A" w14:textId="77777777">
        <w:tc>
          <w:tcPr>
            <w:tcW w:w="1066" w:type="dxa"/>
            <w:vAlign w:val="center"/>
          </w:tcPr>
          <w:p w14:paraId="7AC2837A"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施利</w:t>
            </w:r>
          </w:p>
        </w:tc>
        <w:tc>
          <w:tcPr>
            <w:tcW w:w="859" w:type="dxa"/>
            <w:vAlign w:val="center"/>
          </w:tcPr>
          <w:p w14:paraId="476A9BC0"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125" w:type="dxa"/>
            <w:vAlign w:val="center"/>
          </w:tcPr>
          <w:p w14:paraId="5F960F62"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主治医师</w:t>
            </w:r>
          </w:p>
        </w:tc>
        <w:tc>
          <w:tcPr>
            <w:tcW w:w="1200" w:type="dxa"/>
            <w:vAlign w:val="center"/>
          </w:tcPr>
          <w:p w14:paraId="711867AA"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无</w:t>
            </w:r>
          </w:p>
        </w:tc>
        <w:tc>
          <w:tcPr>
            <w:tcW w:w="1079" w:type="dxa"/>
            <w:vAlign w:val="center"/>
          </w:tcPr>
          <w:p w14:paraId="1E4DCE62"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长沙市中心医院</w:t>
            </w:r>
          </w:p>
        </w:tc>
        <w:tc>
          <w:tcPr>
            <w:tcW w:w="4671" w:type="dxa"/>
            <w:vAlign w:val="center"/>
          </w:tcPr>
          <w:p w14:paraId="382D70B7"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作为项目秘书，参与制定研究总体方案、技术路线与实施计划。负责本项目课题参与者培训，资料整理，患者纳入，数据分析，论文撰写等工作，为代表性论文3、7的第一作者, 代表性论文5、6的通讯作者。协助项目负责人负责省内外十余家医院新药使用督导工作。</w:t>
            </w:r>
          </w:p>
        </w:tc>
      </w:tr>
      <w:tr w:rsidR="00AC2315" w14:paraId="3D4340F2" w14:textId="77777777">
        <w:tc>
          <w:tcPr>
            <w:tcW w:w="1066" w:type="dxa"/>
            <w:vAlign w:val="center"/>
          </w:tcPr>
          <w:p w14:paraId="25DF7A12" w14:textId="77777777" w:rsidR="00AC2315" w:rsidRDefault="00000000">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何芳</w:t>
            </w:r>
            <w:proofErr w:type="gramEnd"/>
          </w:p>
        </w:tc>
        <w:tc>
          <w:tcPr>
            <w:tcW w:w="859" w:type="dxa"/>
            <w:vAlign w:val="center"/>
          </w:tcPr>
          <w:p w14:paraId="7AC26475"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1125" w:type="dxa"/>
            <w:vAlign w:val="center"/>
          </w:tcPr>
          <w:p w14:paraId="38C8889E"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副主任医师</w:t>
            </w:r>
          </w:p>
        </w:tc>
        <w:tc>
          <w:tcPr>
            <w:tcW w:w="1200" w:type="dxa"/>
            <w:vAlign w:val="center"/>
          </w:tcPr>
          <w:p w14:paraId="71013A21"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无</w:t>
            </w:r>
          </w:p>
        </w:tc>
        <w:tc>
          <w:tcPr>
            <w:tcW w:w="1079" w:type="dxa"/>
            <w:vAlign w:val="center"/>
          </w:tcPr>
          <w:p w14:paraId="1E299837"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长沙市中心医院</w:t>
            </w:r>
          </w:p>
        </w:tc>
        <w:tc>
          <w:tcPr>
            <w:tcW w:w="4671" w:type="dxa"/>
            <w:vAlign w:val="center"/>
          </w:tcPr>
          <w:p w14:paraId="6B85CE20" w14:textId="77777777" w:rsidR="00AC2315" w:rsidRDefault="00000000">
            <w:pPr>
              <w:widowControl/>
              <w:jc w:val="center"/>
              <w:rPr>
                <w:rFonts w:ascii="宋体" w:hAnsi="宋体" w:cs="宋体" w:hint="eastAsia"/>
                <w:color w:val="000000"/>
                <w:kern w:val="0"/>
                <w:szCs w:val="21"/>
              </w:rPr>
            </w:pPr>
            <w:bookmarkStart w:id="0" w:name="OLE_LINK60"/>
            <w:r>
              <w:rPr>
                <w:rFonts w:ascii="宋体" w:hAnsi="宋体" w:cs="宋体" w:hint="eastAsia"/>
                <w:color w:val="000000"/>
                <w:kern w:val="0"/>
                <w:szCs w:val="21"/>
              </w:rPr>
              <w:t>参与制定研究总体方案、技术路线与实施计划。</w:t>
            </w:r>
            <w:bookmarkEnd w:id="0"/>
            <w:r>
              <w:rPr>
                <w:rFonts w:ascii="宋体" w:hAnsi="宋体" w:cs="宋体" w:hint="eastAsia"/>
                <w:color w:val="000000"/>
                <w:kern w:val="0"/>
                <w:szCs w:val="21"/>
              </w:rPr>
              <w:t>负责患者纳入及管理，数据收集，为代表性论文3、5、6的参与作者</w:t>
            </w:r>
          </w:p>
        </w:tc>
      </w:tr>
      <w:tr w:rsidR="00AC2315" w14:paraId="25F3602F" w14:textId="77777777">
        <w:tc>
          <w:tcPr>
            <w:tcW w:w="1066" w:type="dxa"/>
            <w:vAlign w:val="center"/>
          </w:tcPr>
          <w:p w14:paraId="63B55F2C"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封文军</w:t>
            </w:r>
          </w:p>
          <w:p w14:paraId="6E37DFAD" w14:textId="77777777" w:rsidR="00AC2315" w:rsidRDefault="00AC2315">
            <w:pPr>
              <w:widowControl/>
              <w:jc w:val="center"/>
              <w:rPr>
                <w:rFonts w:ascii="宋体" w:hAnsi="宋体" w:cs="宋体" w:hint="eastAsia"/>
                <w:color w:val="000000"/>
                <w:kern w:val="0"/>
                <w:szCs w:val="21"/>
              </w:rPr>
            </w:pPr>
          </w:p>
        </w:tc>
        <w:tc>
          <w:tcPr>
            <w:tcW w:w="859" w:type="dxa"/>
            <w:vAlign w:val="center"/>
          </w:tcPr>
          <w:p w14:paraId="2E6F3228"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1125" w:type="dxa"/>
            <w:vAlign w:val="center"/>
          </w:tcPr>
          <w:p w14:paraId="27709612"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副主任医师</w:t>
            </w:r>
          </w:p>
        </w:tc>
        <w:tc>
          <w:tcPr>
            <w:tcW w:w="1200" w:type="dxa"/>
            <w:vAlign w:val="center"/>
          </w:tcPr>
          <w:p w14:paraId="1A6C0F23"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科副主任</w:t>
            </w:r>
          </w:p>
        </w:tc>
        <w:tc>
          <w:tcPr>
            <w:tcW w:w="1079" w:type="dxa"/>
            <w:vAlign w:val="center"/>
          </w:tcPr>
          <w:p w14:paraId="775C0EEA"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长沙市中心医院</w:t>
            </w:r>
          </w:p>
        </w:tc>
        <w:tc>
          <w:tcPr>
            <w:tcW w:w="4671" w:type="dxa"/>
            <w:vAlign w:val="center"/>
          </w:tcPr>
          <w:p w14:paraId="154F6424"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参与制定研究总体方案、技术路线与实施计划，负责项目方案制定，患者管理，为代表性论文3、5、6的参与作者。</w:t>
            </w:r>
          </w:p>
        </w:tc>
      </w:tr>
      <w:tr w:rsidR="00AC2315" w14:paraId="21254BB3" w14:textId="77777777">
        <w:tc>
          <w:tcPr>
            <w:tcW w:w="1066" w:type="dxa"/>
            <w:vAlign w:val="center"/>
          </w:tcPr>
          <w:p w14:paraId="678EF32F"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黄云辉</w:t>
            </w:r>
          </w:p>
        </w:tc>
        <w:tc>
          <w:tcPr>
            <w:tcW w:w="859" w:type="dxa"/>
            <w:vAlign w:val="center"/>
          </w:tcPr>
          <w:p w14:paraId="6E1E9AE6"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1125" w:type="dxa"/>
            <w:vAlign w:val="center"/>
          </w:tcPr>
          <w:p w14:paraId="664B8233"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副主任医师</w:t>
            </w:r>
          </w:p>
        </w:tc>
        <w:tc>
          <w:tcPr>
            <w:tcW w:w="1200" w:type="dxa"/>
            <w:vAlign w:val="center"/>
          </w:tcPr>
          <w:p w14:paraId="7EE80345"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无</w:t>
            </w:r>
          </w:p>
        </w:tc>
        <w:tc>
          <w:tcPr>
            <w:tcW w:w="1079" w:type="dxa"/>
            <w:vAlign w:val="center"/>
          </w:tcPr>
          <w:p w14:paraId="08B85B39"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长沙市中心医院</w:t>
            </w:r>
          </w:p>
        </w:tc>
        <w:tc>
          <w:tcPr>
            <w:tcW w:w="4671" w:type="dxa"/>
            <w:vAlign w:val="center"/>
          </w:tcPr>
          <w:p w14:paraId="2949A42B"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负责患者纳入及管理，数据收集，为代表性论文3、5、6的参与作者</w:t>
            </w:r>
          </w:p>
        </w:tc>
      </w:tr>
      <w:tr w:rsidR="00AC2315" w14:paraId="567FB638" w14:textId="77777777">
        <w:tc>
          <w:tcPr>
            <w:tcW w:w="1066" w:type="dxa"/>
            <w:vAlign w:val="center"/>
          </w:tcPr>
          <w:p w14:paraId="3EBA476A" w14:textId="77777777" w:rsidR="00AC2315" w:rsidRDefault="00000000">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胡羽萌</w:t>
            </w:r>
            <w:proofErr w:type="gramEnd"/>
          </w:p>
        </w:tc>
        <w:tc>
          <w:tcPr>
            <w:tcW w:w="859" w:type="dxa"/>
            <w:vAlign w:val="center"/>
          </w:tcPr>
          <w:p w14:paraId="12AF92F7"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1125" w:type="dxa"/>
            <w:vAlign w:val="center"/>
          </w:tcPr>
          <w:p w14:paraId="2E457162"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主治医师</w:t>
            </w:r>
          </w:p>
        </w:tc>
        <w:tc>
          <w:tcPr>
            <w:tcW w:w="1200" w:type="dxa"/>
            <w:vAlign w:val="center"/>
          </w:tcPr>
          <w:p w14:paraId="3FB58252"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无</w:t>
            </w:r>
          </w:p>
        </w:tc>
        <w:tc>
          <w:tcPr>
            <w:tcW w:w="1079" w:type="dxa"/>
            <w:vAlign w:val="center"/>
          </w:tcPr>
          <w:p w14:paraId="47A18A8B"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长沙市中心医院</w:t>
            </w:r>
          </w:p>
        </w:tc>
        <w:tc>
          <w:tcPr>
            <w:tcW w:w="4671" w:type="dxa"/>
            <w:vAlign w:val="center"/>
          </w:tcPr>
          <w:p w14:paraId="6EF000EC"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负责患者纳入及管理，数据收集，为代表性论文3、5、6的参与作者</w:t>
            </w:r>
          </w:p>
        </w:tc>
      </w:tr>
      <w:tr w:rsidR="00AC2315" w14:paraId="03DF707E" w14:textId="77777777">
        <w:tc>
          <w:tcPr>
            <w:tcW w:w="1066" w:type="dxa"/>
            <w:vAlign w:val="center"/>
          </w:tcPr>
          <w:p w14:paraId="4DF65405"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雷丽萍</w:t>
            </w:r>
          </w:p>
        </w:tc>
        <w:tc>
          <w:tcPr>
            <w:tcW w:w="859" w:type="dxa"/>
            <w:vAlign w:val="center"/>
          </w:tcPr>
          <w:p w14:paraId="3FFF8794"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1125" w:type="dxa"/>
            <w:vAlign w:val="center"/>
          </w:tcPr>
          <w:p w14:paraId="3FA6D1B1"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主治医师</w:t>
            </w:r>
          </w:p>
        </w:tc>
        <w:tc>
          <w:tcPr>
            <w:tcW w:w="1200" w:type="dxa"/>
            <w:vAlign w:val="center"/>
          </w:tcPr>
          <w:p w14:paraId="188B500F"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无</w:t>
            </w:r>
          </w:p>
        </w:tc>
        <w:tc>
          <w:tcPr>
            <w:tcW w:w="1079" w:type="dxa"/>
            <w:vAlign w:val="center"/>
          </w:tcPr>
          <w:p w14:paraId="3032969B"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长沙市中心医院</w:t>
            </w:r>
          </w:p>
        </w:tc>
        <w:tc>
          <w:tcPr>
            <w:tcW w:w="4671" w:type="dxa"/>
            <w:vAlign w:val="center"/>
          </w:tcPr>
          <w:p w14:paraId="1EEE582A"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负责患者纳入及管理，数据收集，为代表性论文3、5、6的参与作者</w:t>
            </w:r>
          </w:p>
        </w:tc>
      </w:tr>
      <w:tr w:rsidR="00AC2315" w14:paraId="65083121" w14:textId="77777777">
        <w:tc>
          <w:tcPr>
            <w:tcW w:w="1066" w:type="dxa"/>
            <w:vAlign w:val="center"/>
          </w:tcPr>
          <w:p w14:paraId="235AE55D"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杨晓云</w:t>
            </w:r>
          </w:p>
        </w:tc>
        <w:tc>
          <w:tcPr>
            <w:tcW w:w="859" w:type="dxa"/>
            <w:vAlign w:val="center"/>
          </w:tcPr>
          <w:p w14:paraId="37D8557D"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1125" w:type="dxa"/>
            <w:vAlign w:val="center"/>
          </w:tcPr>
          <w:p w14:paraId="1B020A3E"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主任医师</w:t>
            </w:r>
          </w:p>
        </w:tc>
        <w:tc>
          <w:tcPr>
            <w:tcW w:w="1200" w:type="dxa"/>
            <w:vAlign w:val="center"/>
          </w:tcPr>
          <w:p w14:paraId="6FAAD9DC"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无</w:t>
            </w:r>
          </w:p>
        </w:tc>
        <w:tc>
          <w:tcPr>
            <w:tcW w:w="1079" w:type="dxa"/>
            <w:vAlign w:val="center"/>
          </w:tcPr>
          <w:p w14:paraId="735B2F84"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长沙市中心医院</w:t>
            </w:r>
          </w:p>
        </w:tc>
        <w:tc>
          <w:tcPr>
            <w:tcW w:w="4671" w:type="dxa"/>
            <w:vAlign w:val="center"/>
          </w:tcPr>
          <w:p w14:paraId="7D2437B3" w14:textId="77777777" w:rsidR="00AC2315"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参与制定研究总体方案、技术路线与实施计划，负责项目方案制定，患者管理，为代表性论文3、5、6的参与作者。</w:t>
            </w:r>
          </w:p>
        </w:tc>
      </w:tr>
    </w:tbl>
    <w:p w14:paraId="1549808D" w14:textId="77777777" w:rsidR="00AC2315" w:rsidRDefault="00000000">
      <w:pPr>
        <w:spacing w:line="360" w:lineRule="auto"/>
        <w:ind w:firstLineChars="100" w:firstLine="324"/>
        <w:rPr>
          <w:rFonts w:ascii="Times New Roman" w:eastAsia="仿宋" w:hAnsi="Times New Roman"/>
          <w:color w:val="0D0D0D"/>
          <w:spacing w:val="2"/>
          <w:sz w:val="32"/>
          <w:szCs w:val="32"/>
        </w:rPr>
      </w:pPr>
      <w:r>
        <w:rPr>
          <w:rFonts w:ascii="Times New Roman" w:eastAsia="仿宋" w:hAnsi="Times New Roman" w:hint="eastAsia"/>
          <w:color w:val="0D0D0D"/>
          <w:spacing w:val="2"/>
          <w:sz w:val="32"/>
          <w:szCs w:val="32"/>
        </w:rPr>
        <w:t>9</w:t>
      </w:r>
      <w:r>
        <w:rPr>
          <w:rFonts w:ascii="Times New Roman" w:eastAsia="仿宋" w:hAnsi="Times New Roman"/>
          <w:color w:val="0D0D0D"/>
          <w:spacing w:val="2"/>
          <w:sz w:val="32"/>
          <w:szCs w:val="32"/>
        </w:rPr>
        <w:t>、完成单位情况，包括单位名称、排名，对本项目的献贡</w:t>
      </w:r>
    </w:p>
    <w:tbl>
      <w:tblPr>
        <w:tblW w:w="10017"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178"/>
        <w:gridCol w:w="7081"/>
      </w:tblGrid>
      <w:tr w:rsidR="00AC2315" w14:paraId="02F5A293" w14:textId="77777777">
        <w:tc>
          <w:tcPr>
            <w:tcW w:w="1758" w:type="dxa"/>
            <w:vAlign w:val="center"/>
          </w:tcPr>
          <w:p w14:paraId="1DD3D622" w14:textId="77777777" w:rsidR="00AC2315"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完成单位名称</w:t>
            </w:r>
          </w:p>
        </w:tc>
        <w:tc>
          <w:tcPr>
            <w:tcW w:w="1178" w:type="dxa"/>
            <w:vAlign w:val="center"/>
          </w:tcPr>
          <w:p w14:paraId="5A088344" w14:textId="77777777" w:rsidR="00AC2315"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排名</w:t>
            </w:r>
          </w:p>
        </w:tc>
        <w:tc>
          <w:tcPr>
            <w:tcW w:w="7081" w:type="dxa"/>
            <w:vAlign w:val="center"/>
          </w:tcPr>
          <w:p w14:paraId="42DBE3FA" w14:textId="77777777" w:rsidR="00AC2315" w:rsidRDefault="00000000">
            <w:pPr>
              <w:jc w:val="center"/>
              <w:rPr>
                <w:rFonts w:ascii="宋体" w:hAnsi="宋体" w:cs="宋体" w:hint="eastAsia"/>
                <w:b/>
                <w:color w:val="0D0D0D"/>
                <w:spacing w:val="2"/>
                <w:szCs w:val="21"/>
              </w:rPr>
            </w:pPr>
            <w:r>
              <w:rPr>
                <w:rFonts w:ascii="宋体" w:hAnsi="宋体" w:cs="宋体" w:hint="eastAsia"/>
                <w:b/>
                <w:color w:val="0D0D0D"/>
                <w:spacing w:val="2"/>
                <w:szCs w:val="21"/>
              </w:rPr>
              <w:t>对本项目的贡献</w:t>
            </w:r>
          </w:p>
        </w:tc>
      </w:tr>
      <w:tr w:rsidR="00AC2315" w14:paraId="1AF5136C" w14:textId="77777777">
        <w:tc>
          <w:tcPr>
            <w:tcW w:w="1758" w:type="dxa"/>
            <w:vAlign w:val="center"/>
          </w:tcPr>
          <w:p w14:paraId="0B10D492" w14:textId="77777777" w:rsidR="00AC2315" w:rsidRDefault="00000000">
            <w:pPr>
              <w:jc w:val="center"/>
              <w:rPr>
                <w:rFonts w:ascii="宋体" w:hAnsi="宋体" w:cs="宋体" w:hint="eastAsia"/>
                <w:color w:val="0D0D0D"/>
                <w:spacing w:val="2"/>
                <w:szCs w:val="21"/>
              </w:rPr>
            </w:pPr>
            <w:r>
              <w:rPr>
                <w:rFonts w:ascii="宋体" w:hAnsi="宋体" w:cs="宋体" w:hint="eastAsia"/>
                <w:color w:val="0D0D0D"/>
                <w:spacing w:val="2"/>
                <w:szCs w:val="21"/>
              </w:rPr>
              <w:t>长沙市中心医院</w:t>
            </w:r>
          </w:p>
        </w:tc>
        <w:tc>
          <w:tcPr>
            <w:tcW w:w="1178" w:type="dxa"/>
            <w:vAlign w:val="center"/>
          </w:tcPr>
          <w:p w14:paraId="38641733" w14:textId="77777777" w:rsidR="00AC2315" w:rsidRDefault="00000000">
            <w:pPr>
              <w:jc w:val="center"/>
              <w:rPr>
                <w:rFonts w:ascii="宋体" w:hAnsi="宋体" w:cs="宋体" w:hint="eastAsia"/>
                <w:color w:val="0D0D0D"/>
                <w:spacing w:val="2"/>
                <w:szCs w:val="21"/>
              </w:rPr>
            </w:pPr>
            <w:r>
              <w:rPr>
                <w:rFonts w:ascii="宋体" w:hAnsi="宋体" w:cs="宋体" w:hint="eastAsia"/>
                <w:color w:val="0D0D0D"/>
                <w:spacing w:val="2"/>
                <w:szCs w:val="21"/>
              </w:rPr>
              <w:t>1</w:t>
            </w:r>
          </w:p>
        </w:tc>
        <w:tc>
          <w:tcPr>
            <w:tcW w:w="7081" w:type="dxa"/>
            <w:vAlign w:val="center"/>
          </w:tcPr>
          <w:p w14:paraId="78383B39" w14:textId="77777777" w:rsidR="00AC2315" w:rsidRDefault="00000000">
            <w:pPr>
              <w:ind w:firstLineChars="150" w:firstLine="315"/>
              <w:jc w:val="left"/>
              <w:rPr>
                <w:rFonts w:ascii="宋体" w:hAnsi="宋体" w:cs="宋体" w:hint="eastAsia"/>
                <w:color w:val="0D0D0D"/>
                <w:spacing w:val="2"/>
                <w:szCs w:val="21"/>
              </w:rPr>
            </w:pPr>
            <w:r>
              <w:rPr>
                <w:rFonts w:ascii="宋体" w:hAnsi="宋体" w:cs="宋体" w:hint="eastAsia"/>
                <w:szCs w:val="21"/>
              </w:rPr>
              <w:t>本单位在“贝达喹啉治疗中国耐多药肺结核患者的有效性及安全性研究”项目中发挥了核心作用，提供了全面的资源和支持。作为项目的主要发起者，本单位提供了必要的人力、场地及资金支持。在项目管理方面，建立了完善的项目管理体系，医院领导高度重视，统筹协调，确保了项目按计划高效推进。本单位被</w:t>
            </w:r>
            <w:proofErr w:type="gramStart"/>
            <w:r>
              <w:rPr>
                <w:rFonts w:ascii="宋体" w:hAnsi="宋体" w:cs="宋体" w:hint="eastAsia"/>
                <w:szCs w:val="21"/>
              </w:rPr>
              <w:t>中国疾控中心</w:t>
            </w:r>
            <w:proofErr w:type="gramEnd"/>
            <w:r>
              <w:rPr>
                <w:rFonts w:ascii="宋体" w:hAnsi="宋体" w:cs="宋体" w:hint="eastAsia"/>
                <w:szCs w:val="21"/>
              </w:rPr>
              <w:t>结核病防治临床中心评为“抗结核新药引入和保护项目示范单位”后，医院领导组织成立专家组和督导组，建立远程会诊平</w:t>
            </w:r>
            <w:r>
              <w:rPr>
                <w:rFonts w:ascii="宋体" w:hAnsi="宋体" w:cs="宋体" w:hint="eastAsia"/>
                <w:szCs w:val="21"/>
              </w:rPr>
              <w:lastRenderedPageBreak/>
              <w:t>台，确保了对省内及省外10余家结核专科医院督导和远程会诊的顺利进行。此外，本单位的科研团队在项目管理中事无巨细，保证项目实施过程中每一个环节的无缝对接，使纳入患者依从性大大提高，</w:t>
            </w:r>
            <w:proofErr w:type="gramStart"/>
            <w:r>
              <w:rPr>
                <w:rFonts w:ascii="宋体" w:hAnsi="宋体" w:cs="宋体" w:hint="eastAsia"/>
                <w:szCs w:val="21"/>
              </w:rPr>
              <w:t>降低失访率</w:t>
            </w:r>
            <w:proofErr w:type="gramEnd"/>
            <w:r>
              <w:rPr>
                <w:rFonts w:ascii="宋体" w:hAnsi="宋体" w:cs="宋体" w:hint="eastAsia"/>
                <w:szCs w:val="21"/>
              </w:rPr>
              <w:t>低。在单位的管理组织下，本项目顺利完成并发表了多篇高水平学术论文。通过本单位的努力，项目成果已经在湖南省内及省外结核病专科医院得到广泛应用，产生了显著的社会效益。且该项目组第一完成人及主要成员均为长沙市中心医院医生，在主要完成人的合作下为疾病的诊疗和新技术起了重大推广与实践作用，受到广大同行的支持与认可。</w:t>
            </w:r>
          </w:p>
        </w:tc>
      </w:tr>
    </w:tbl>
    <w:p w14:paraId="628D0680" w14:textId="77777777" w:rsidR="00AC2315" w:rsidRDefault="00AC2315"/>
    <w:sectPr w:rsidR="00AC23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9A8EE" w14:textId="77777777" w:rsidR="00BA3B3C" w:rsidRDefault="00BA3B3C" w:rsidP="00CE60E9">
      <w:r>
        <w:separator/>
      </w:r>
    </w:p>
  </w:endnote>
  <w:endnote w:type="continuationSeparator" w:id="0">
    <w:p w14:paraId="2579EBF3" w14:textId="77777777" w:rsidR="00BA3B3C" w:rsidRDefault="00BA3B3C" w:rsidP="00CE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07063" w14:textId="77777777" w:rsidR="00BA3B3C" w:rsidRDefault="00BA3B3C" w:rsidP="00CE60E9">
      <w:r>
        <w:separator/>
      </w:r>
    </w:p>
  </w:footnote>
  <w:footnote w:type="continuationSeparator" w:id="0">
    <w:p w14:paraId="76C21EC2" w14:textId="77777777" w:rsidR="00BA3B3C" w:rsidRDefault="00BA3B3C" w:rsidP="00CE6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6B5EDB"/>
    <w:multiLevelType w:val="singleLevel"/>
    <w:tmpl w:val="926B5EDB"/>
    <w:lvl w:ilvl="0">
      <w:start w:val="6"/>
      <w:numFmt w:val="decimal"/>
      <w:suff w:val="nothing"/>
      <w:lvlText w:val="%1、"/>
      <w:lvlJc w:val="left"/>
      <w:rPr>
        <w:rFonts w:ascii="Times New Roman" w:hAnsi="Times New Roman" w:cs="Times New Roman" w:hint="default"/>
        <w:sz w:val="32"/>
        <w:szCs w:val="32"/>
      </w:rPr>
    </w:lvl>
  </w:abstractNum>
  <w:abstractNum w:abstractNumId="1" w15:restartNumberingAfterBreak="0">
    <w:nsid w:val="6E88B427"/>
    <w:multiLevelType w:val="singleLevel"/>
    <w:tmpl w:val="6E88B427"/>
    <w:lvl w:ilvl="0">
      <w:start w:val="1"/>
      <w:numFmt w:val="decimal"/>
      <w:suff w:val="nothing"/>
      <w:lvlText w:val="%1、"/>
      <w:lvlJc w:val="left"/>
    </w:lvl>
  </w:abstractNum>
  <w:num w:numId="1" w16cid:durableId="1263756666">
    <w:abstractNumId w:val="1"/>
  </w:num>
  <w:num w:numId="2" w16cid:durableId="98828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diZTI3YTVmN2Q3ZTdlZTdjYzU3NTE5M2M2ZWIxZTgifQ=="/>
  </w:docVars>
  <w:rsids>
    <w:rsidRoot w:val="008123B7"/>
    <w:rsid w:val="002619BB"/>
    <w:rsid w:val="005351C7"/>
    <w:rsid w:val="00750BC5"/>
    <w:rsid w:val="007D3504"/>
    <w:rsid w:val="008123B7"/>
    <w:rsid w:val="008B09A9"/>
    <w:rsid w:val="00A63DD0"/>
    <w:rsid w:val="00AC2315"/>
    <w:rsid w:val="00BA3B3C"/>
    <w:rsid w:val="00CE60E9"/>
    <w:rsid w:val="00D754C6"/>
    <w:rsid w:val="00EE5D58"/>
    <w:rsid w:val="040370F5"/>
    <w:rsid w:val="050252FB"/>
    <w:rsid w:val="11A918F2"/>
    <w:rsid w:val="11D60773"/>
    <w:rsid w:val="128D0F77"/>
    <w:rsid w:val="14751D21"/>
    <w:rsid w:val="148738DB"/>
    <w:rsid w:val="176F3141"/>
    <w:rsid w:val="19F41AE5"/>
    <w:rsid w:val="1FDC3220"/>
    <w:rsid w:val="204D5CAA"/>
    <w:rsid w:val="22831E6C"/>
    <w:rsid w:val="25C90690"/>
    <w:rsid w:val="266C0B77"/>
    <w:rsid w:val="29F11CEE"/>
    <w:rsid w:val="2C3C6074"/>
    <w:rsid w:val="2DE965CB"/>
    <w:rsid w:val="2F802B7A"/>
    <w:rsid w:val="304F00C5"/>
    <w:rsid w:val="34874897"/>
    <w:rsid w:val="3EC53107"/>
    <w:rsid w:val="409D6D84"/>
    <w:rsid w:val="42EB101F"/>
    <w:rsid w:val="45861736"/>
    <w:rsid w:val="47F10D45"/>
    <w:rsid w:val="496F6EC3"/>
    <w:rsid w:val="4B6B750A"/>
    <w:rsid w:val="4D2B1B9C"/>
    <w:rsid w:val="4EC27690"/>
    <w:rsid w:val="4FA33650"/>
    <w:rsid w:val="522612DA"/>
    <w:rsid w:val="5343208F"/>
    <w:rsid w:val="540E00A3"/>
    <w:rsid w:val="5596719D"/>
    <w:rsid w:val="5B304451"/>
    <w:rsid w:val="5B94720E"/>
    <w:rsid w:val="61B34382"/>
    <w:rsid w:val="62BE0F09"/>
    <w:rsid w:val="67F52E13"/>
    <w:rsid w:val="69DC6C3C"/>
    <w:rsid w:val="6F20569F"/>
    <w:rsid w:val="6F912DCA"/>
    <w:rsid w:val="6FE62739"/>
    <w:rsid w:val="75E2497A"/>
    <w:rsid w:val="78A01767"/>
    <w:rsid w:val="7A2370F0"/>
    <w:rsid w:val="7B292F56"/>
    <w:rsid w:val="7C6E4F24"/>
    <w:rsid w:val="7C7C5141"/>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0E12F"/>
  <w15:docId w15:val="{7E17A97B-EB87-4B49-BA2B-CD669DED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100" w:beforeAutospacing="1" w:after="100" w:afterAutospacing="1"/>
      <w:jc w:val="left"/>
    </w:pPr>
    <w:rPr>
      <w:kern w:val="0"/>
      <w:sz w:val="24"/>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customStyle="1" w:styleId="a7">
    <w:name w:val="页眉 字符"/>
    <w:basedOn w:val="a0"/>
    <w:link w:val="a6"/>
    <w:qFormat/>
    <w:rPr>
      <w:rFonts w:ascii="Calibri" w:eastAsia="宋体" w:hAnsi="Calibri" w:cs="Times New Roman"/>
      <w:kern w:val="2"/>
      <w:sz w:val="18"/>
      <w:szCs w:val="18"/>
    </w:rPr>
  </w:style>
  <w:style w:type="character" w:customStyle="1" w:styleId="a5">
    <w:name w:val="页脚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yiting</dc:creator>
  <cp:lastModifiedBy>委 党</cp:lastModifiedBy>
  <cp:revision>5</cp:revision>
  <dcterms:created xsi:type="dcterms:W3CDTF">2021-06-03T08:58:00Z</dcterms:created>
  <dcterms:modified xsi:type="dcterms:W3CDTF">2024-07-18T03:12:00Z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7E5055BCA6924B8EB8FFD5B0B3BF100B_13</vt:lpwstr>
  </property>
</Properties>
</file>