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DF772"/>
    <w:p w14:paraId="506D35B8"/>
    <w:p w14:paraId="15A34DBE">
      <w:pPr>
        <w:jc w:val="left"/>
        <w:rPr>
          <w:rFonts w:hint="eastAsia" w:ascii="宋体" w:hAnsi="宋体" w:cs="宋体"/>
          <w:sz w:val="32"/>
          <w:szCs w:val="32"/>
          <w:lang w:val="en-US" w:eastAsia="zh-CN"/>
        </w:rPr>
      </w:pPr>
      <w:bookmarkStart w:id="0" w:name="_GoBack"/>
      <w:bookmarkEnd w:id="0"/>
    </w:p>
    <w:p w14:paraId="1539CF3E">
      <w:pPr>
        <w:jc w:val="left"/>
        <w:rPr>
          <w:rFonts w:hint="eastAsia" w:ascii="宋体" w:hAnsi="宋体" w:cs="宋体"/>
          <w:sz w:val="32"/>
          <w:szCs w:val="32"/>
          <w:lang w:val="en-US" w:eastAsia="zh-CN"/>
        </w:rPr>
      </w:pPr>
      <w:r>
        <w:rPr>
          <w:rFonts w:hint="eastAsia" w:ascii="宋体" w:hAnsi="宋体" w:cs="宋体"/>
          <w:sz w:val="32"/>
          <w:szCs w:val="32"/>
          <w:lang w:val="en-US" w:eastAsia="zh-CN"/>
        </w:rPr>
        <w:t>附件1：</w:t>
      </w:r>
    </w:p>
    <w:tbl>
      <w:tblPr>
        <w:tblStyle w:val="6"/>
        <w:tblpPr w:leftFromText="180" w:rightFromText="180" w:vertAnchor="text" w:horzAnchor="page" w:tblpX="991" w:tblpY="653"/>
        <w:tblOverlap w:val="never"/>
        <w:tblW w:w="957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20"/>
        <w:gridCol w:w="1780"/>
        <w:gridCol w:w="3869"/>
        <w:gridCol w:w="1199"/>
        <w:gridCol w:w="2108"/>
      </w:tblGrid>
      <w:tr w14:paraId="59E112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0" w:hRule="atLeast"/>
        </w:trPr>
        <w:tc>
          <w:tcPr>
            <w:tcW w:w="620" w:type="dxa"/>
            <w:tcBorders>
              <w:bottom w:val="single" w:color="auto" w:sz="4" w:space="0"/>
              <w:right w:val="single" w:color="auto" w:sz="4" w:space="0"/>
            </w:tcBorders>
            <w:vAlign w:val="center"/>
          </w:tcPr>
          <w:p w14:paraId="2A6B131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780" w:type="dxa"/>
            <w:tcBorders>
              <w:left w:val="nil"/>
              <w:bottom w:val="single" w:color="auto" w:sz="4" w:space="0"/>
              <w:right w:val="single" w:color="auto" w:sz="4" w:space="0"/>
            </w:tcBorders>
            <w:vAlign w:val="center"/>
          </w:tcPr>
          <w:p w14:paraId="05D6C20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项目名称</w:t>
            </w:r>
          </w:p>
        </w:tc>
        <w:tc>
          <w:tcPr>
            <w:tcW w:w="3869" w:type="dxa"/>
            <w:tcBorders>
              <w:left w:val="nil"/>
              <w:bottom w:val="single" w:color="auto" w:sz="4" w:space="0"/>
              <w:right w:val="single" w:color="auto" w:sz="4" w:space="0"/>
            </w:tcBorders>
            <w:vAlign w:val="center"/>
          </w:tcPr>
          <w:p w14:paraId="40F3E38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项目特征描述</w:t>
            </w:r>
          </w:p>
        </w:tc>
        <w:tc>
          <w:tcPr>
            <w:tcW w:w="1199" w:type="dxa"/>
            <w:tcBorders>
              <w:left w:val="nil"/>
              <w:bottom w:val="single" w:color="auto" w:sz="4" w:space="0"/>
              <w:right w:val="single" w:color="auto" w:sz="4" w:space="0"/>
            </w:tcBorders>
            <w:vAlign w:val="center"/>
          </w:tcPr>
          <w:p w14:paraId="434966D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计量单位</w:t>
            </w:r>
          </w:p>
        </w:tc>
        <w:tc>
          <w:tcPr>
            <w:tcW w:w="2108" w:type="dxa"/>
            <w:tcBorders>
              <w:left w:val="nil"/>
              <w:bottom w:val="single" w:color="auto" w:sz="4" w:space="0"/>
            </w:tcBorders>
            <w:vAlign w:val="center"/>
          </w:tcPr>
          <w:p w14:paraId="56BDAC36">
            <w:pPr>
              <w:widowControl/>
              <w:jc w:val="both"/>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工程量</w:t>
            </w:r>
          </w:p>
        </w:tc>
      </w:tr>
      <w:tr w14:paraId="12E9D9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620" w:type="dxa"/>
            <w:tcBorders>
              <w:top w:val="nil"/>
              <w:bottom w:val="single" w:color="auto" w:sz="4" w:space="0"/>
              <w:right w:val="single" w:color="auto" w:sz="4" w:space="0"/>
            </w:tcBorders>
            <w:vAlign w:val="center"/>
          </w:tcPr>
          <w:p w14:paraId="05492F2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780" w:type="dxa"/>
            <w:tcBorders>
              <w:top w:val="nil"/>
              <w:left w:val="nil"/>
              <w:bottom w:val="single" w:color="auto" w:sz="4" w:space="0"/>
              <w:right w:val="single" w:color="auto" w:sz="4" w:space="0"/>
            </w:tcBorders>
            <w:vAlign w:val="center"/>
          </w:tcPr>
          <w:p w14:paraId="55406CA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消杀（暂估）</w:t>
            </w:r>
          </w:p>
        </w:tc>
        <w:tc>
          <w:tcPr>
            <w:tcW w:w="3869" w:type="dxa"/>
            <w:tcBorders>
              <w:top w:val="nil"/>
              <w:left w:val="nil"/>
              <w:bottom w:val="single" w:color="auto" w:sz="4" w:space="0"/>
              <w:right w:val="single" w:color="auto" w:sz="4" w:space="0"/>
            </w:tcBorders>
            <w:vAlign w:val="center"/>
          </w:tcPr>
          <w:p w14:paraId="0155C32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人工擦拭吊顶、墙面、地面、设备消杀，</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暂时按30天进行</w:t>
            </w:r>
          </w:p>
        </w:tc>
        <w:tc>
          <w:tcPr>
            <w:tcW w:w="1199" w:type="dxa"/>
            <w:tcBorders>
              <w:top w:val="nil"/>
              <w:left w:val="nil"/>
              <w:bottom w:val="single" w:color="auto" w:sz="4" w:space="0"/>
              <w:right w:val="single" w:color="auto" w:sz="4" w:space="0"/>
            </w:tcBorders>
            <w:vAlign w:val="center"/>
          </w:tcPr>
          <w:p w14:paraId="658523D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工日</w:t>
            </w:r>
          </w:p>
        </w:tc>
        <w:tc>
          <w:tcPr>
            <w:tcW w:w="2108" w:type="dxa"/>
            <w:tcBorders>
              <w:top w:val="nil"/>
              <w:left w:val="nil"/>
              <w:bottom w:val="single" w:color="auto" w:sz="4" w:space="0"/>
            </w:tcBorders>
            <w:vAlign w:val="center"/>
          </w:tcPr>
          <w:p w14:paraId="120BFC9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r>
      <w:tr w14:paraId="022EA6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1" w:hRule="atLeast"/>
        </w:trPr>
        <w:tc>
          <w:tcPr>
            <w:tcW w:w="620" w:type="dxa"/>
            <w:tcBorders>
              <w:top w:val="nil"/>
              <w:bottom w:val="single" w:color="auto" w:sz="4" w:space="0"/>
              <w:right w:val="single" w:color="auto" w:sz="4" w:space="0"/>
            </w:tcBorders>
            <w:vAlign w:val="center"/>
          </w:tcPr>
          <w:p w14:paraId="6955586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780" w:type="dxa"/>
            <w:tcBorders>
              <w:top w:val="nil"/>
              <w:left w:val="nil"/>
              <w:bottom w:val="single" w:color="auto" w:sz="4" w:space="0"/>
              <w:right w:val="single" w:color="auto" w:sz="4" w:space="0"/>
            </w:tcBorders>
            <w:vAlign w:val="center"/>
          </w:tcPr>
          <w:p w14:paraId="267C1D4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接缝重新打胶</w:t>
            </w:r>
          </w:p>
        </w:tc>
        <w:tc>
          <w:tcPr>
            <w:tcW w:w="3869" w:type="dxa"/>
            <w:tcBorders>
              <w:top w:val="nil"/>
              <w:left w:val="nil"/>
              <w:bottom w:val="single" w:color="auto" w:sz="4" w:space="0"/>
              <w:right w:val="single" w:color="auto" w:sz="4" w:space="0"/>
            </w:tcBorders>
            <w:vAlign w:val="center"/>
          </w:tcPr>
          <w:p w14:paraId="60EB260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渗漏区域吊顶接缝硅酮胶密封</w:t>
            </w:r>
          </w:p>
        </w:tc>
        <w:tc>
          <w:tcPr>
            <w:tcW w:w="1199" w:type="dxa"/>
            <w:tcBorders>
              <w:top w:val="nil"/>
              <w:left w:val="nil"/>
              <w:bottom w:val="single" w:color="auto" w:sz="4" w:space="0"/>
              <w:right w:val="single" w:color="auto" w:sz="4" w:space="0"/>
            </w:tcBorders>
            <w:vAlign w:val="center"/>
          </w:tcPr>
          <w:p w14:paraId="51D2E30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w:t>
            </w:r>
          </w:p>
        </w:tc>
        <w:tc>
          <w:tcPr>
            <w:tcW w:w="2108" w:type="dxa"/>
            <w:tcBorders>
              <w:top w:val="nil"/>
              <w:left w:val="nil"/>
              <w:bottom w:val="single" w:color="auto" w:sz="4" w:space="0"/>
            </w:tcBorders>
            <w:vAlign w:val="center"/>
          </w:tcPr>
          <w:p w14:paraId="0490406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r>
      <w:tr w14:paraId="039E51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620" w:type="dxa"/>
            <w:tcBorders>
              <w:top w:val="nil"/>
              <w:bottom w:val="single" w:color="auto" w:sz="4" w:space="0"/>
              <w:right w:val="single" w:color="auto" w:sz="4" w:space="0"/>
            </w:tcBorders>
            <w:vAlign w:val="center"/>
          </w:tcPr>
          <w:p w14:paraId="0F4D55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780" w:type="dxa"/>
            <w:tcBorders>
              <w:top w:val="nil"/>
              <w:left w:val="nil"/>
              <w:bottom w:val="single" w:color="auto" w:sz="4" w:space="0"/>
              <w:right w:val="single" w:color="auto" w:sz="4" w:space="0"/>
            </w:tcBorders>
            <w:vAlign w:val="center"/>
          </w:tcPr>
          <w:p w14:paraId="0954719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措施费</w:t>
            </w:r>
          </w:p>
        </w:tc>
        <w:tc>
          <w:tcPr>
            <w:tcW w:w="3869" w:type="dxa"/>
            <w:tcBorders>
              <w:top w:val="nil"/>
              <w:left w:val="nil"/>
              <w:bottom w:val="single" w:color="auto" w:sz="4" w:space="0"/>
              <w:right w:val="single" w:color="auto" w:sz="4" w:space="0"/>
            </w:tcBorders>
            <w:vAlign w:val="center"/>
          </w:tcPr>
          <w:p w14:paraId="731C300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墙面、地板、电动门及门窗防</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护，与其他区域隔离，保证其他区域正常使用</w:t>
            </w:r>
          </w:p>
        </w:tc>
        <w:tc>
          <w:tcPr>
            <w:tcW w:w="1199" w:type="dxa"/>
            <w:tcBorders>
              <w:top w:val="nil"/>
              <w:left w:val="nil"/>
              <w:bottom w:val="single" w:color="auto" w:sz="4" w:space="0"/>
              <w:right w:val="single" w:color="auto" w:sz="4" w:space="0"/>
            </w:tcBorders>
            <w:vAlign w:val="center"/>
          </w:tcPr>
          <w:p w14:paraId="519C210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w:t>
            </w:r>
          </w:p>
        </w:tc>
        <w:tc>
          <w:tcPr>
            <w:tcW w:w="2108" w:type="dxa"/>
            <w:tcBorders>
              <w:top w:val="nil"/>
              <w:left w:val="nil"/>
              <w:bottom w:val="single" w:color="auto" w:sz="4" w:space="0"/>
            </w:tcBorders>
            <w:vAlign w:val="center"/>
          </w:tcPr>
          <w:p w14:paraId="376B144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r>
      <w:tr w14:paraId="1E61B4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620" w:type="dxa"/>
            <w:tcBorders>
              <w:top w:val="nil"/>
              <w:bottom w:val="single" w:color="auto" w:sz="4" w:space="0"/>
              <w:right w:val="single" w:color="auto" w:sz="4" w:space="0"/>
            </w:tcBorders>
            <w:vAlign w:val="center"/>
          </w:tcPr>
          <w:p w14:paraId="14111CD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780" w:type="dxa"/>
            <w:tcBorders>
              <w:top w:val="nil"/>
              <w:left w:val="nil"/>
              <w:bottom w:val="single" w:color="auto" w:sz="4" w:space="0"/>
              <w:right w:val="single" w:color="auto" w:sz="4" w:space="0"/>
            </w:tcBorders>
            <w:vAlign w:val="center"/>
          </w:tcPr>
          <w:p w14:paraId="7ED5F6B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卫生清理费用</w:t>
            </w:r>
          </w:p>
        </w:tc>
        <w:tc>
          <w:tcPr>
            <w:tcW w:w="3869" w:type="dxa"/>
            <w:tcBorders>
              <w:top w:val="nil"/>
              <w:left w:val="nil"/>
              <w:bottom w:val="single" w:color="auto" w:sz="4" w:space="0"/>
              <w:right w:val="single" w:color="auto" w:sz="4" w:space="0"/>
            </w:tcBorders>
            <w:vAlign w:val="center"/>
          </w:tcPr>
          <w:p w14:paraId="608731A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房间整体卫生清洁</w:t>
            </w:r>
          </w:p>
        </w:tc>
        <w:tc>
          <w:tcPr>
            <w:tcW w:w="1199" w:type="dxa"/>
            <w:tcBorders>
              <w:top w:val="nil"/>
              <w:left w:val="nil"/>
              <w:bottom w:val="single" w:color="auto" w:sz="4" w:space="0"/>
              <w:right w:val="single" w:color="auto" w:sz="4" w:space="0"/>
            </w:tcBorders>
            <w:vAlign w:val="center"/>
          </w:tcPr>
          <w:p w14:paraId="6DA6021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w:t>
            </w:r>
          </w:p>
        </w:tc>
        <w:tc>
          <w:tcPr>
            <w:tcW w:w="2108" w:type="dxa"/>
            <w:tcBorders>
              <w:top w:val="nil"/>
              <w:left w:val="nil"/>
              <w:bottom w:val="single" w:color="auto" w:sz="4" w:space="0"/>
            </w:tcBorders>
            <w:vAlign w:val="center"/>
          </w:tcPr>
          <w:p w14:paraId="1CFDBEA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r>
      <w:tr w14:paraId="71BC83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620" w:type="dxa"/>
            <w:tcBorders>
              <w:top w:val="nil"/>
              <w:bottom w:val="single" w:color="auto" w:sz="4" w:space="0"/>
              <w:right w:val="single" w:color="auto" w:sz="4" w:space="0"/>
            </w:tcBorders>
            <w:vAlign w:val="center"/>
          </w:tcPr>
          <w:p w14:paraId="30A7F2E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780" w:type="dxa"/>
            <w:tcBorders>
              <w:top w:val="nil"/>
              <w:left w:val="nil"/>
              <w:bottom w:val="single" w:color="auto" w:sz="4" w:space="0"/>
              <w:right w:val="single" w:color="auto" w:sz="4" w:space="0"/>
            </w:tcBorders>
            <w:vAlign w:val="center"/>
          </w:tcPr>
          <w:p w14:paraId="3B4B05A1">
            <w:pPr>
              <w:widowControl/>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楼板维修、</w:t>
            </w:r>
            <w:r>
              <w:rPr>
                <w:rFonts w:hint="eastAsia" w:ascii="宋体" w:hAnsi="宋体" w:cs="宋体"/>
                <w:color w:val="000000" w:themeColor="text1"/>
                <w:kern w:val="0"/>
                <w:sz w:val="22"/>
                <w:szCs w:val="22"/>
                <w14:textFill>
                  <w14:solidFill>
                    <w14:schemeClr w14:val="tx1"/>
                  </w14:solidFill>
                </w14:textFill>
              </w:rPr>
              <w:t>防水注浆堵漏</w:t>
            </w:r>
          </w:p>
        </w:tc>
        <w:tc>
          <w:tcPr>
            <w:tcW w:w="3869" w:type="dxa"/>
            <w:tcBorders>
              <w:top w:val="nil"/>
              <w:left w:val="nil"/>
              <w:bottom w:val="single" w:color="auto" w:sz="4" w:space="0"/>
              <w:right w:val="single" w:color="auto" w:sz="4" w:space="0"/>
            </w:tcBorders>
            <w:vAlign w:val="center"/>
          </w:tcPr>
          <w:p w14:paraId="1C7DE384">
            <w:pPr>
              <w:widowControl/>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顶板裂缝</w:t>
            </w:r>
            <w:r>
              <w:rPr>
                <w:rFonts w:hint="eastAsia" w:ascii="宋体" w:hAnsi="宋体" w:cs="宋体"/>
                <w:color w:val="000000" w:themeColor="text1"/>
                <w:kern w:val="0"/>
                <w:sz w:val="22"/>
                <w:szCs w:val="22"/>
                <w:lang w:eastAsia="zh-CN"/>
                <w14:textFill>
                  <w14:solidFill>
                    <w14:schemeClr w14:val="tx1"/>
                  </w14:solidFill>
                </w14:textFill>
              </w:rPr>
              <w:t>维修、</w:t>
            </w:r>
            <w:r>
              <w:rPr>
                <w:rFonts w:hint="eastAsia" w:ascii="宋体" w:hAnsi="宋体" w:cs="宋体"/>
                <w:color w:val="000000" w:themeColor="text1"/>
                <w:kern w:val="0"/>
                <w:sz w:val="22"/>
                <w:szCs w:val="22"/>
                <w14:textFill>
                  <w14:solidFill>
                    <w14:schemeClr w14:val="tx1"/>
                  </w14:solidFill>
                </w14:textFill>
              </w:rPr>
              <w:t>注浆防水堵漏</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lang w:val="en-US" w:eastAsia="zh-CN"/>
                <w14:textFill>
                  <w14:solidFill>
                    <w14:schemeClr w14:val="tx1"/>
                  </w14:solidFill>
                </w14:textFill>
              </w:rPr>
              <w:t>环保材料</w:t>
            </w:r>
            <w:r>
              <w:rPr>
                <w:rFonts w:hint="eastAsia" w:ascii="宋体" w:hAnsi="宋体" w:cs="宋体"/>
                <w:color w:val="000000" w:themeColor="text1"/>
                <w:kern w:val="0"/>
                <w:sz w:val="22"/>
                <w:szCs w:val="22"/>
                <w:lang w:eastAsia="zh-CN"/>
                <w14:textFill>
                  <w14:solidFill>
                    <w14:schemeClr w14:val="tx1"/>
                  </w14:solidFill>
                </w14:textFill>
              </w:rPr>
              <w:t>）</w:t>
            </w:r>
          </w:p>
        </w:tc>
        <w:tc>
          <w:tcPr>
            <w:tcW w:w="1199" w:type="dxa"/>
            <w:tcBorders>
              <w:top w:val="nil"/>
              <w:left w:val="nil"/>
              <w:bottom w:val="single" w:color="auto" w:sz="4" w:space="0"/>
              <w:right w:val="single" w:color="auto" w:sz="4" w:space="0"/>
            </w:tcBorders>
            <w:vAlign w:val="center"/>
          </w:tcPr>
          <w:p w14:paraId="7B82A084">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c>
          <w:tcPr>
            <w:tcW w:w="2108" w:type="dxa"/>
            <w:tcBorders>
              <w:top w:val="nil"/>
              <w:left w:val="nil"/>
              <w:bottom w:val="single" w:color="auto" w:sz="4" w:space="0"/>
            </w:tcBorders>
            <w:vAlign w:val="center"/>
          </w:tcPr>
          <w:p w14:paraId="4FD992F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r>
      <w:tr w14:paraId="09B1BE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620" w:type="dxa"/>
            <w:tcBorders>
              <w:top w:val="nil"/>
              <w:bottom w:val="single" w:color="auto" w:sz="4" w:space="0"/>
              <w:right w:val="single" w:color="auto" w:sz="4" w:space="0"/>
            </w:tcBorders>
            <w:vAlign w:val="center"/>
          </w:tcPr>
          <w:p w14:paraId="7CFE8A5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780" w:type="dxa"/>
            <w:tcBorders>
              <w:top w:val="nil"/>
              <w:left w:val="nil"/>
              <w:bottom w:val="single" w:color="auto" w:sz="4" w:space="0"/>
              <w:right w:val="single" w:color="auto" w:sz="4" w:space="0"/>
            </w:tcBorders>
            <w:vAlign w:val="center"/>
          </w:tcPr>
          <w:p w14:paraId="03E5EE79">
            <w:pPr>
              <w:widowControl/>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洁净平板灯更换</w:t>
            </w:r>
          </w:p>
        </w:tc>
        <w:tc>
          <w:tcPr>
            <w:tcW w:w="3869" w:type="dxa"/>
            <w:tcBorders>
              <w:top w:val="nil"/>
              <w:left w:val="nil"/>
              <w:bottom w:val="single" w:color="auto" w:sz="4" w:space="0"/>
              <w:right w:val="single" w:color="auto" w:sz="4" w:space="0"/>
            </w:tcBorders>
            <w:vAlign w:val="center"/>
          </w:tcPr>
          <w:p w14:paraId="16E750A6">
            <w:pPr>
              <w:widowControl/>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规格：600*600</w:t>
            </w:r>
          </w:p>
        </w:tc>
        <w:tc>
          <w:tcPr>
            <w:tcW w:w="1199" w:type="dxa"/>
            <w:tcBorders>
              <w:top w:val="nil"/>
              <w:left w:val="nil"/>
              <w:bottom w:val="single" w:color="auto" w:sz="4" w:space="0"/>
              <w:right w:val="single" w:color="auto" w:sz="4" w:space="0"/>
            </w:tcBorders>
            <w:vAlign w:val="center"/>
          </w:tcPr>
          <w:p w14:paraId="628D2A27">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盏</w:t>
            </w:r>
          </w:p>
        </w:tc>
        <w:tc>
          <w:tcPr>
            <w:tcW w:w="2108" w:type="dxa"/>
            <w:tcBorders>
              <w:top w:val="nil"/>
              <w:left w:val="nil"/>
              <w:bottom w:val="single" w:color="auto" w:sz="4" w:space="0"/>
            </w:tcBorders>
            <w:vAlign w:val="center"/>
          </w:tcPr>
          <w:p w14:paraId="750FAAB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r>
      <w:tr w14:paraId="4B6081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620" w:type="dxa"/>
            <w:tcBorders>
              <w:top w:val="nil"/>
              <w:bottom w:val="single" w:color="auto" w:sz="4" w:space="0"/>
              <w:right w:val="single" w:color="auto" w:sz="4" w:space="0"/>
            </w:tcBorders>
            <w:vAlign w:val="center"/>
          </w:tcPr>
          <w:p w14:paraId="13AA2ED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5649" w:type="dxa"/>
            <w:gridSpan w:val="2"/>
            <w:tcBorders>
              <w:top w:val="single" w:color="auto" w:sz="4" w:space="0"/>
              <w:left w:val="nil"/>
              <w:bottom w:val="single" w:color="auto" w:sz="4" w:space="0"/>
              <w:right w:val="single" w:color="000000" w:sz="4" w:space="0"/>
            </w:tcBorders>
            <w:vAlign w:val="center"/>
          </w:tcPr>
          <w:p w14:paraId="480F71C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包含</w:t>
            </w:r>
            <w:r>
              <w:rPr>
                <w:rFonts w:hint="eastAsia" w:ascii="宋体" w:hAnsi="宋体" w:cs="宋体"/>
                <w:color w:val="000000"/>
                <w:kern w:val="0"/>
                <w:sz w:val="22"/>
                <w:szCs w:val="22"/>
              </w:rPr>
              <w:t>税金管理费</w:t>
            </w:r>
          </w:p>
        </w:tc>
        <w:tc>
          <w:tcPr>
            <w:tcW w:w="1199" w:type="dxa"/>
            <w:tcBorders>
              <w:top w:val="nil"/>
              <w:left w:val="nil"/>
              <w:bottom w:val="single" w:color="auto" w:sz="4" w:space="0"/>
              <w:right w:val="single" w:color="auto" w:sz="4" w:space="0"/>
            </w:tcBorders>
            <w:vAlign w:val="center"/>
          </w:tcPr>
          <w:p w14:paraId="68B0695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108" w:type="dxa"/>
            <w:tcBorders>
              <w:top w:val="single" w:color="auto" w:sz="4" w:space="0"/>
              <w:left w:val="nil"/>
              <w:bottom w:val="single" w:color="auto" w:sz="4" w:space="0"/>
            </w:tcBorders>
            <w:vAlign w:val="center"/>
          </w:tcPr>
          <w:p w14:paraId="70B2EC84">
            <w:pPr>
              <w:widowControl/>
              <w:jc w:val="center"/>
              <w:rPr>
                <w:rFonts w:hint="eastAsia" w:ascii="宋体" w:hAnsi="宋体" w:cs="宋体"/>
                <w:color w:val="000000"/>
                <w:kern w:val="0"/>
                <w:sz w:val="22"/>
                <w:szCs w:val="22"/>
              </w:rPr>
            </w:pPr>
          </w:p>
        </w:tc>
      </w:tr>
    </w:tbl>
    <w:p w14:paraId="71F66C94">
      <w:pPr>
        <w:jc w:val="left"/>
        <w:rPr>
          <w:rFonts w:hint="default" w:ascii="宋体" w:hAnsi="宋体" w:cs="宋体"/>
          <w:sz w:val="32"/>
          <w:szCs w:val="32"/>
          <w:lang w:val="en-US" w:eastAsia="zh-CN"/>
        </w:rPr>
      </w:pPr>
      <w:r>
        <w:rPr>
          <w:rFonts w:hint="eastAsia" w:ascii="宋体" w:hAnsi="宋体" w:cs="宋体"/>
          <w:sz w:val="32"/>
          <w:szCs w:val="32"/>
          <w:lang w:val="en-US" w:eastAsia="zh-CN"/>
        </w:rPr>
        <w:t>清单明细</w:t>
      </w:r>
    </w:p>
    <w:p w14:paraId="6EEC27B4">
      <w:pPr>
        <w:adjustRightInd w:val="0"/>
        <w:snapToGrid w:val="0"/>
        <w:spacing w:line="320" w:lineRule="atLeast"/>
        <w:jc w:val="left"/>
        <w:rPr>
          <w:b/>
          <w:sz w:val="22"/>
          <w:szCs w:val="22"/>
        </w:rPr>
      </w:pPr>
    </w:p>
    <w:p w14:paraId="44435024">
      <w:pPr>
        <w:adjustRightInd w:val="0"/>
        <w:snapToGrid w:val="0"/>
        <w:spacing w:line="320" w:lineRule="atLeast"/>
        <w:jc w:val="left"/>
        <w:rPr>
          <w:b/>
          <w:sz w:val="22"/>
          <w:szCs w:val="22"/>
        </w:rPr>
      </w:pPr>
    </w:p>
    <w:p w14:paraId="53D56C76">
      <w:pPr>
        <w:adjustRightInd w:val="0"/>
        <w:snapToGrid w:val="0"/>
        <w:spacing w:line="320" w:lineRule="atLeast"/>
        <w:jc w:val="left"/>
        <w:rPr>
          <w:b/>
          <w:sz w:val="22"/>
          <w:szCs w:val="22"/>
        </w:rPr>
      </w:pPr>
    </w:p>
    <w:p w14:paraId="55211A0C">
      <w:pPr>
        <w:adjustRightInd w:val="0"/>
        <w:snapToGrid w:val="0"/>
        <w:spacing w:line="320" w:lineRule="atLeast"/>
        <w:jc w:val="left"/>
        <w:rPr>
          <w:b/>
          <w:sz w:val="22"/>
          <w:szCs w:val="22"/>
        </w:rPr>
      </w:pPr>
    </w:p>
    <w:p w14:paraId="757FA8C5">
      <w:pPr>
        <w:adjustRightInd w:val="0"/>
        <w:snapToGrid w:val="0"/>
        <w:spacing w:line="320" w:lineRule="atLeast"/>
        <w:jc w:val="left"/>
        <w:rPr>
          <w:b/>
          <w:sz w:val="22"/>
          <w:szCs w:val="22"/>
        </w:rPr>
      </w:pPr>
    </w:p>
    <w:p w14:paraId="456868E2">
      <w:pPr>
        <w:adjustRightInd w:val="0"/>
        <w:snapToGrid w:val="0"/>
        <w:spacing w:line="320" w:lineRule="atLeast"/>
        <w:jc w:val="left"/>
        <w:rPr>
          <w:b/>
          <w:sz w:val="22"/>
          <w:szCs w:val="22"/>
        </w:rPr>
      </w:pPr>
    </w:p>
    <w:p w14:paraId="2E65BFE9">
      <w:pPr>
        <w:adjustRightInd w:val="0"/>
        <w:snapToGrid w:val="0"/>
        <w:spacing w:line="320" w:lineRule="atLeast"/>
        <w:jc w:val="left"/>
        <w:rPr>
          <w:b/>
          <w:sz w:val="22"/>
          <w:szCs w:val="22"/>
        </w:rPr>
      </w:pPr>
    </w:p>
    <w:p w14:paraId="2803FC49">
      <w:pPr>
        <w:adjustRightInd w:val="0"/>
        <w:snapToGrid w:val="0"/>
        <w:spacing w:line="320" w:lineRule="atLeast"/>
        <w:jc w:val="left"/>
        <w:rPr>
          <w:b/>
          <w:sz w:val="22"/>
          <w:szCs w:val="22"/>
        </w:rPr>
      </w:pPr>
    </w:p>
    <w:p w14:paraId="1BA8C674">
      <w:pPr>
        <w:adjustRightInd w:val="0"/>
        <w:snapToGrid w:val="0"/>
        <w:spacing w:line="320" w:lineRule="atLeast"/>
        <w:jc w:val="left"/>
        <w:rPr>
          <w:b/>
          <w:sz w:val="22"/>
          <w:szCs w:val="22"/>
        </w:rPr>
      </w:pPr>
    </w:p>
    <w:p w14:paraId="2AFE0336">
      <w:pPr>
        <w:adjustRightInd w:val="0"/>
        <w:snapToGrid w:val="0"/>
        <w:spacing w:line="320" w:lineRule="atLeast"/>
        <w:jc w:val="left"/>
        <w:rPr>
          <w:b/>
          <w:sz w:val="22"/>
          <w:szCs w:val="22"/>
        </w:rPr>
      </w:pPr>
    </w:p>
    <w:p w14:paraId="4B42B20A">
      <w:pPr>
        <w:adjustRightInd w:val="0"/>
        <w:snapToGrid w:val="0"/>
        <w:spacing w:line="320" w:lineRule="atLeast"/>
        <w:jc w:val="left"/>
        <w:rPr>
          <w:b/>
          <w:sz w:val="22"/>
          <w:szCs w:val="22"/>
        </w:rPr>
      </w:pPr>
    </w:p>
    <w:p w14:paraId="107B6393">
      <w:pPr>
        <w:adjustRightInd w:val="0"/>
        <w:snapToGrid w:val="0"/>
        <w:spacing w:line="320" w:lineRule="atLeast"/>
        <w:jc w:val="left"/>
        <w:rPr>
          <w:b/>
          <w:sz w:val="22"/>
          <w:szCs w:val="22"/>
        </w:rPr>
      </w:pPr>
    </w:p>
    <w:p w14:paraId="7D3E31A4">
      <w:pPr>
        <w:adjustRightInd w:val="0"/>
        <w:snapToGrid w:val="0"/>
        <w:spacing w:line="320" w:lineRule="atLeast"/>
        <w:jc w:val="left"/>
        <w:rPr>
          <w:b/>
          <w:sz w:val="22"/>
          <w:szCs w:val="22"/>
        </w:rPr>
      </w:pPr>
    </w:p>
    <w:p w14:paraId="2A2DDD93">
      <w:pPr>
        <w:adjustRightInd w:val="0"/>
        <w:snapToGrid w:val="0"/>
        <w:spacing w:line="320" w:lineRule="atLeast"/>
        <w:jc w:val="left"/>
        <w:rPr>
          <w:b/>
          <w:sz w:val="22"/>
          <w:szCs w:val="22"/>
        </w:rPr>
      </w:pPr>
    </w:p>
    <w:p w14:paraId="1C165CBA">
      <w:pPr>
        <w:adjustRightInd w:val="0"/>
        <w:snapToGrid w:val="0"/>
        <w:spacing w:line="320" w:lineRule="atLeast"/>
        <w:jc w:val="left"/>
        <w:rPr>
          <w:b/>
          <w:sz w:val="22"/>
          <w:szCs w:val="22"/>
        </w:rPr>
      </w:pPr>
    </w:p>
    <w:p w14:paraId="2CED57B5">
      <w:pPr>
        <w:adjustRightInd w:val="0"/>
        <w:snapToGrid w:val="0"/>
        <w:spacing w:line="320" w:lineRule="atLeast"/>
        <w:jc w:val="left"/>
        <w:rPr>
          <w:b/>
          <w:sz w:val="22"/>
          <w:szCs w:val="22"/>
        </w:rPr>
      </w:pPr>
    </w:p>
    <w:p w14:paraId="38C40191">
      <w:pPr>
        <w:adjustRightInd w:val="0"/>
        <w:snapToGrid w:val="0"/>
        <w:spacing w:line="320" w:lineRule="atLeast"/>
        <w:jc w:val="left"/>
        <w:rPr>
          <w:b/>
          <w:sz w:val="22"/>
          <w:szCs w:val="22"/>
        </w:rPr>
      </w:pPr>
    </w:p>
    <w:p w14:paraId="59F61A7F">
      <w:pPr>
        <w:adjustRightInd w:val="0"/>
        <w:snapToGrid w:val="0"/>
        <w:spacing w:line="320" w:lineRule="atLeast"/>
        <w:jc w:val="left"/>
        <w:rPr>
          <w:b/>
          <w:sz w:val="22"/>
          <w:szCs w:val="22"/>
        </w:rPr>
      </w:pPr>
    </w:p>
    <w:p w14:paraId="703022DD">
      <w:pPr>
        <w:adjustRightInd w:val="0"/>
        <w:snapToGrid w:val="0"/>
        <w:spacing w:line="320" w:lineRule="atLeast"/>
        <w:jc w:val="left"/>
        <w:rPr>
          <w:b/>
          <w:sz w:val="22"/>
          <w:szCs w:val="22"/>
        </w:rPr>
      </w:pPr>
    </w:p>
    <w:p w14:paraId="7DB44138">
      <w:pPr>
        <w:adjustRightInd w:val="0"/>
        <w:snapToGrid w:val="0"/>
        <w:spacing w:line="320" w:lineRule="atLeast"/>
        <w:jc w:val="left"/>
        <w:rPr>
          <w:b/>
          <w:sz w:val="22"/>
          <w:szCs w:val="22"/>
        </w:rPr>
      </w:pPr>
    </w:p>
    <w:p w14:paraId="5EC4C4D7">
      <w:pPr>
        <w:widowControl/>
        <w:jc w:val="left"/>
        <w:rPr>
          <w:rFonts w:hint="eastAsia" w:ascii="宋体" w:hAnsi="宋体" w:cs="宋体"/>
          <w:color w:val="000000"/>
          <w:kern w:val="0"/>
          <w:sz w:val="22"/>
          <w:szCs w:val="22"/>
        </w:rPr>
      </w:pPr>
    </w:p>
    <w:p w14:paraId="3A7C63BD">
      <w:pPr>
        <w:widowControl/>
        <w:jc w:val="left"/>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需求情况及技术规格说明</w:t>
      </w:r>
    </w:p>
    <w:p w14:paraId="66020F57">
      <w:pPr>
        <w:widowControl/>
        <w:jc w:val="left"/>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kern w:val="0"/>
          <w:sz w:val="22"/>
          <w:szCs w:val="22"/>
        </w:rPr>
        <w:t xml:space="preserve">一、项目名称：  </w:t>
      </w:r>
      <w:r>
        <w:rPr>
          <w:rFonts w:hint="eastAsia" w:ascii="宋体" w:hAnsi="宋体" w:cs="宋体"/>
          <w:color w:val="000000" w:themeColor="text1"/>
          <w:kern w:val="0"/>
          <w:sz w:val="22"/>
          <w:szCs w:val="22"/>
          <w:lang w:eastAsia="zh-CN"/>
          <w14:textFill>
            <w14:solidFill>
              <w14:schemeClr w14:val="tx1"/>
            </w14:solidFill>
          </w14:textFill>
        </w:rPr>
        <w:t>新生儿</w:t>
      </w:r>
      <w:r>
        <w:rPr>
          <w:rFonts w:hint="eastAsia" w:ascii="宋体" w:hAnsi="宋体" w:cs="宋体"/>
          <w:color w:val="000000" w:themeColor="text1"/>
          <w:kern w:val="0"/>
          <w:sz w:val="22"/>
          <w:szCs w:val="22"/>
          <w:lang w:val="en-US" w:eastAsia="zh-CN"/>
          <w14:textFill>
            <w14:solidFill>
              <w14:schemeClr w14:val="tx1"/>
            </w14:solidFill>
          </w14:textFill>
        </w:rPr>
        <w:t>洁净</w:t>
      </w:r>
      <w:r>
        <w:rPr>
          <w:rFonts w:hint="eastAsia" w:ascii="宋体" w:hAnsi="宋体" w:cs="宋体"/>
          <w:color w:val="000000" w:themeColor="text1"/>
          <w:kern w:val="0"/>
          <w:sz w:val="22"/>
          <w:szCs w:val="22"/>
          <w:lang w:eastAsia="zh-CN"/>
          <w14:textFill>
            <w14:solidFill>
              <w14:schemeClr w14:val="tx1"/>
            </w14:solidFill>
          </w14:textFill>
        </w:rPr>
        <w:t>病房维修</w:t>
      </w:r>
      <w:r>
        <w:rPr>
          <w:rFonts w:hint="eastAsia" w:ascii="宋体" w:hAnsi="宋体" w:cs="宋体"/>
          <w:color w:val="000000" w:themeColor="text1"/>
          <w:kern w:val="0"/>
          <w:sz w:val="22"/>
          <w:szCs w:val="22"/>
          <w14:textFill>
            <w14:solidFill>
              <w14:schemeClr w14:val="tx1"/>
            </w14:solidFill>
          </w14:textFill>
        </w:rPr>
        <w:t>采购项目。</w:t>
      </w:r>
    </w:p>
    <w:p w14:paraId="302F614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二、招标控制价：</w:t>
      </w:r>
      <w:r>
        <w:rPr>
          <w:rFonts w:hint="eastAsia" w:ascii="宋体" w:hAnsi="宋体" w:cs="宋体"/>
          <w:color w:val="000000"/>
          <w:kern w:val="0"/>
          <w:sz w:val="22"/>
          <w:szCs w:val="22"/>
          <w:lang w:val="en-US" w:eastAsia="zh-CN"/>
        </w:rPr>
        <w:t>30000</w:t>
      </w:r>
      <w:r>
        <w:rPr>
          <w:rFonts w:hint="eastAsia" w:ascii="宋体" w:hAnsi="宋体" w:cs="宋体"/>
          <w:color w:val="000000"/>
          <w:kern w:val="0"/>
          <w:sz w:val="22"/>
          <w:szCs w:val="22"/>
        </w:rPr>
        <w:t xml:space="preserve"> 元。</w:t>
      </w:r>
    </w:p>
    <w:p w14:paraId="2E3F0DD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三、工期要求：计划工期30日历天。</w:t>
      </w:r>
    </w:p>
    <w:p w14:paraId="50EE0E3D">
      <w:pPr>
        <w:widowControl/>
        <w:jc w:val="left"/>
        <w:rPr>
          <w:rFonts w:hint="eastAsia" w:ascii="宋体" w:hAnsi="宋体" w:cs="宋体"/>
          <w:color w:val="000000"/>
          <w:kern w:val="0"/>
          <w:sz w:val="22"/>
          <w:szCs w:val="22"/>
          <w:lang w:eastAsia="zh-CN"/>
        </w:rPr>
      </w:pPr>
      <w:r>
        <w:rPr>
          <w:rFonts w:hint="eastAsia" w:ascii="宋体" w:hAnsi="宋体" w:cs="宋体"/>
          <w:color w:val="000000"/>
          <w:kern w:val="0"/>
          <w:sz w:val="22"/>
          <w:szCs w:val="22"/>
        </w:rPr>
        <w:t>四、招标范围：长沙市中心医院院区内，具体位置为医疗综合楼</w:t>
      </w:r>
      <w:r>
        <w:rPr>
          <w:rFonts w:hint="eastAsia" w:ascii="宋体" w:hAnsi="宋体" w:cs="宋体"/>
          <w:color w:val="000000"/>
          <w:kern w:val="0"/>
          <w:sz w:val="22"/>
          <w:szCs w:val="22"/>
          <w:lang w:eastAsia="zh-CN"/>
        </w:rPr>
        <w:t>十一楼</w:t>
      </w:r>
    </w:p>
    <w:p w14:paraId="331CBEF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附件：</w:t>
      </w:r>
    </w:p>
    <w:p w14:paraId="2B0E5CC6">
      <w:pPr>
        <w:adjustRightInd w:val="0"/>
        <w:snapToGrid w:val="0"/>
        <w:spacing w:line="320" w:lineRule="atLeast"/>
        <w:ind w:firstLine="440" w:firstLineChars="200"/>
        <w:rPr>
          <w:rFonts w:hint="eastAsia" w:ascii="宋体" w:hAnsi="宋体" w:cs="宋体"/>
          <w:color w:val="000000"/>
          <w:kern w:val="0"/>
          <w:sz w:val="22"/>
          <w:szCs w:val="22"/>
        </w:rPr>
      </w:pPr>
      <w:r>
        <w:rPr>
          <w:rFonts w:hint="eastAsia" w:ascii="宋体" w:hAnsi="宋体" w:cs="宋体"/>
          <w:color w:val="000000"/>
          <w:kern w:val="0"/>
          <w:sz w:val="22"/>
          <w:szCs w:val="22"/>
        </w:rPr>
        <w:t>采购基本要求：</w:t>
      </w:r>
    </w:p>
    <w:p w14:paraId="1451C931">
      <w:pPr>
        <w:widowControl/>
        <w:jc w:val="left"/>
        <w:rPr>
          <w:rFonts w:hint="eastAsia" w:hAnsi="宋体"/>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w:t>
      </w:r>
      <w:r>
        <w:rPr>
          <w:rFonts w:hint="eastAsia"/>
          <w:color w:val="000000" w:themeColor="text1"/>
          <w:sz w:val="22"/>
          <w:szCs w:val="22"/>
          <w14:textFill>
            <w14:solidFill>
              <w14:schemeClr w14:val="tx1"/>
            </w14:solidFill>
          </w14:textFill>
        </w:rPr>
        <w:t>1）</w:t>
      </w:r>
      <w:r>
        <w:rPr>
          <w:rFonts w:hint="eastAsia" w:hAnsi="宋体"/>
          <w:color w:val="000000" w:themeColor="text1"/>
          <w:sz w:val="22"/>
          <w:szCs w:val="22"/>
          <w14:textFill>
            <w14:solidFill>
              <w14:schemeClr w14:val="tx1"/>
            </w14:solidFill>
          </w14:textFill>
        </w:rPr>
        <w:t>具有施工总承包建筑工程贰级以及专业承包装饰装修工程贰级以上资质</w:t>
      </w:r>
      <w:r>
        <w:rPr>
          <w:rFonts w:hint="eastAsia"/>
          <w:color w:val="000000" w:themeColor="text1"/>
          <w:sz w:val="22"/>
          <w:szCs w:val="22"/>
          <w14:textFill>
            <w14:solidFill>
              <w14:schemeClr w14:val="tx1"/>
            </w14:solidFill>
          </w14:textFill>
        </w:rPr>
        <w:t>；</w:t>
      </w:r>
    </w:p>
    <w:p w14:paraId="2EA3C07F">
      <w:pPr>
        <w:numPr>
          <w:ilvl w:val="0"/>
          <w:numId w:val="0"/>
        </w:numPr>
        <w:adjustRightInd w:val="0"/>
        <w:snapToGrid w:val="0"/>
        <w:spacing w:line="320" w:lineRule="atLeast"/>
        <w:rPr>
          <w:rFonts w:hint="eastAsia" w:hAnsi="宋体"/>
          <w:color w:val="000000" w:themeColor="text1"/>
          <w:sz w:val="22"/>
          <w:szCs w:val="22"/>
          <w14:textFill>
            <w14:solidFill>
              <w14:schemeClr w14:val="tx1"/>
            </w14:solidFill>
          </w14:textFill>
        </w:rPr>
      </w:pPr>
      <w:r>
        <w:rPr>
          <w:rFonts w:hint="eastAsia" w:hAnsi="宋体"/>
          <w:color w:val="000000" w:themeColor="text1"/>
          <w:sz w:val="22"/>
          <w:szCs w:val="22"/>
          <w:lang w:val="en-US" w:eastAsia="zh-CN"/>
          <w14:textFill>
            <w14:solidFill>
              <w14:schemeClr w14:val="tx1"/>
            </w14:solidFill>
          </w14:textFill>
        </w:rPr>
        <w:t xml:space="preserve">(2) </w:t>
      </w:r>
      <w:r>
        <w:rPr>
          <w:rFonts w:hint="eastAsia" w:hAnsi="宋体"/>
          <w:color w:val="000000" w:themeColor="text1"/>
          <w:sz w:val="22"/>
          <w:szCs w:val="22"/>
          <w14:textFill>
            <w14:solidFill>
              <w14:schemeClr w14:val="tx1"/>
            </w14:solidFill>
          </w14:textFill>
        </w:rPr>
        <w:t>具有有效施工企业安全生产许可证</w:t>
      </w:r>
      <w:r>
        <w:rPr>
          <w:rFonts w:hint="eastAsia"/>
          <w:color w:val="000000" w:themeColor="text1"/>
          <w:sz w:val="22"/>
          <w:szCs w:val="22"/>
          <w14:textFill>
            <w14:solidFill>
              <w14:schemeClr w14:val="tx1"/>
            </w14:solidFill>
          </w14:textFill>
        </w:rPr>
        <w:t>；</w:t>
      </w:r>
    </w:p>
    <w:p w14:paraId="0BE02A29">
      <w:pPr>
        <w:widowControl/>
        <w:jc w:val="left"/>
        <w:rPr>
          <w:rFonts w:hint="eastAsia" w:ascii="宋体" w:hAnsi="宋体" w:cs="宋体"/>
          <w:color w:val="000000" w:themeColor="text1"/>
          <w:kern w:val="0"/>
          <w:sz w:val="22"/>
          <w:szCs w:val="22"/>
          <w14:textFill>
            <w14:solidFill>
              <w14:schemeClr w14:val="tx1"/>
            </w14:solidFill>
          </w14:textFill>
        </w:rPr>
      </w:pPr>
    </w:p>
    <w:p w14:paraId="2FBC71E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工程范围</w:t>
      </w:r>
    </w:p>
    <w:p w14:paraId="5887785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1.对医疗综合楼</w:t>
      </w:r>
      <w:r>
        <w:rPr>
          <w:rFonts w:hint="eastAsia" w:ascii="宋体" w:hAnsi="宋体" w:cs="宋体"/>
          <w:color w:val="000000"/>
          <w:kern w:val="0"/>
          <w:sz w:val="22"/>
          <w:szCs w:val="22"/>
          <w:lang w:eastAsia="zh-CN"/>
        </w:rPr>
        <w:t>新生儿病房</w:t>
      </w:r>
      <w:r>
        <w:rPr>
          <w:rFonts w:hint="eastAsia" w:ascii="宋体" w:hAnsi="宋体" w:cs="宋体"/>
          <w:color w:val="000000"/>
          <w:kern w:val="0"/>
          <w:sz w:val="22"/>
          <w:szCs w:val="22"/>
        </w:rPr>
        <w:t>被污染的洁净病房进行</w:t>
      </w:r>
      <w:r>
        <w:rPr>
          <w:rFonts w:hint="eastAsia" w:ascii="宋体" w:hAnsi="宋体" w:cs="宋体"/>
          <w:color w:val="000000"/>
          <w:kern w:val="0"/>
          <w:sz w:val="22"/>
          <w:szCs w:val="22"/>
          <w:lang w:eastAsia="zh-CN"/>
        </w:rPr>
        <w:t>楼板维修、</w:t>
      </w:r>
      <w:r>
        <w:rPr>
          <w:rFonts w:hint="eastAsia" w:ascii="宋体" w:hAnsi="宋体" w:cs="宋体"/>
          <w:color w:val="000000"/>
          <w:kern w:val="0"/>
          <w:sz w:val="22"/>
          <w:szCs w:val="22"/>
        </w:rPr>
        <w:t>防水堵漏、损坏设备更换、设备维护调试、病房整体消杀、以及病房持续消杀等工作内容。</w:t>
      </w:r>
    </w:p>
    <w:p w14:paraId="4DCCECF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计划工期：</w:t>
      </w:r>
    </w:p>
    <w:p w14:paraId="2660F77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计划工期预计为30历天。具体开工日期以甲方通知为准。</w:t>
      </w:r>
    </w:p>
    <w:p w14:paraId="303544B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技术要求：</w:t>
      </w:r>
    </w:p>
    <w:p w14:paraId="59A1574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环境要求：</w:t>
      </w:r>
    </w:p>
    <w:p w14:paraId="6F5F5C3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乙方必须按甲方要求，对施工区域设置必要保障措施。对科室以及病房内原有设备、地面、墙面、柜子等设备进行成品保护。保护措施需满足甲方认可后方可开始实施后续作业工作。因乙方保护措施不到位造成的成的成品损坏后果由乙方承担。</w:t>
      </w:r>
    </w:p>
    <w:p w14:paraId="182C863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乙方必须采取必要措施，保证施工作业期间，科室的正常运行，必须无条件配合甲方医疗相关的安排及要求。</w:t>
      </w:r>
    </w:p>
    <w:p w14:paraId="0E0F837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施工人员作业人员进去现场前，必须对所有作业人员进行基本的身体消毒，并依据科室要求，做好隔离防护，作业人员进入现场必须自备并佩戴医用外科口罩、医用头套、隔离服、鞋套、手套等防护用品经甲方确认满足洁净需求后，方可进入施工作业现场。</w:t>
      </w:r>
    </w:p>
    <w:p w14:paraId="269FB99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施工作业人员不得随意进出作业现场，不得擅自出入其他施工作业无关区域。</w:t>
      </w:r>
    </w:p>
    <w:p w14:paraId="48E14C4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施工作业现场严禁抽烟、吃槟榔等行为，一经发现医院相关规定严厉处罚。</w:t>
      </w:r>
    </w:p>
    <w:p w14:paraId="4EC30D9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作业要求</w:t>
      </w:r>
    </w:p>
    <w:p w14:paraId="41978BA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2.乙方对污染病房（47㎡）区域吊顶上部全部漏水渗水区域进行</w:t>
      </w:r>
      <w:r>
        <w:rPr>
          <w:rFonts w:hint="eastAsia" w:ascii="宋体" w:hAnsi="宋体" w:cs="宋体"/>
          <w:color w:val="000000"/>
          <w:kern w:val="0"/>
          <w:sz w:val="22"/>
          <w:szCs w:val="22"/>
          <w:lang w:eastAsia="zh-CN"/>
        </w:rPr>
        <w:t>楼板维修、</w:t>
      </w:r>
      <w:r>
        <w:rPr>
          <w:rFonts w:hint="eastAsia" w:ascii="宋体" w:hAnsi="宋体" w:cs="宋体"/>
          <w:color w:val="000000"/>
          <w:kern w:val="0"/>
          <w:sz w:val="22"/>
          <w:szCs w:val="22"/>
        </w:rPr>
        <w:t>防水堵漏，确保该病房区域吊顶上顶板不出现漏水、滴水、渗水等情况。如果出现复漏，再次照成的消杀费用由乙方承担。</w:t>
      </w:r>
    </w:p>
    <w:p w14:paraId="1D5932A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乙方在作业期间需对科室内所有成品进行保护，照成损坏后的修复费用由乙方承担。</w:t>
      </w:r>
    </w:p>
    <w:p w14:paraId="086900D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污染病房（47㎡）区域完成完成防水堵漏后，需对吊顶上部以及吊顶下部所有外露的位置，按甲方要求配置消毒药水进行全面擦拭。每天擦拭一遍。完成后需经过甲方现场代表确认。</w:t>
      </w:r>
    </w:p>
    <w:p w14:paraId="4A1A951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作业产生的垃圾废物，乙方采取密封大包措施后，每天带离现场并自行负责处置。</w:t>
      </w:r>
    </w:p>
    <w:p w14:paraId="232712A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、污染病房（47㎡）区域范围内，所有外露接缝处，需按原有标准，采用白色硅酮胶进行打胶，包括所有插座、封口、墙缝、门窗缝、灯具、音响、设备等。</w:t>
      </w:r>
    </w:p>
    <w:p w14:paraId="04A8703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、作业区域作业期间必须严格控制噪音，不得影响科室正常运行。</w:t>
      </w:r>
    </w:p>
    <w:p w14:paraId="78723C7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8</w:t>
      </w:r>
      <w:r>
        <w:rPr>
          <w:rFonts w:hint="eastAsia" w:ascii="宋体" w:hAnsi="宋体" w:cs="宋体"/>
          <w:color w:val="000000"/>
          <w:kern w:val="0"/>
          <w:sz w:val="22"/>
          <w:szCs w:val="22"/>
        </w:rPr>
        <w:t>、完成所有作业内容后，需对污染病房（47㎡）区域内所有设备（吊塔、空气消毒机、新风机、排风机、空调自控系统、背景音乐系统、弱电系统、强电系统、消防系统、进行调试监测，对异常设备及系统负责恢复正常。</w:t>
      </w:r>
    </w:p>
    <w:p w14:paraId="2A908829">
      <w:pPr>
        <w:widowControl/>
        <w:jc w:val="left"/>
        <w:rPr>
          <w:rFonts w:hint="eastAsia" w:ascii="宋体" w:hAnsi="宋体" w:cs="宋体"/>
          <w:color w:val="000000"/>
          <w:kern w:val="0"/>
          <w:sz w:val="22"/>
          <w:szCs w:val="22"/>
        </w:rPr>
      </w:pPr>
    </w:p>
    <w:p w14:paraId="4643A32D">
      <w:pPr>
        <w:adjustRightInd w:val="0"/>
        <w:snapToGrid w:val="0"/>
        <w:ind w:firstLine="442" w:firstLineChars="200"/>
        <w:jc w:val="left"/>
        <w:rPr>
          <w:b/>
          <w:color w:val="000000"/>
          <w:sz w:val="22"/>
          <w:szCs w:val="22"/>
        </w:rPr>
      </w:pPr>
    </w:p>
    <w:p w14:paraId="73314A0F">
      <w:pPr>
        <w:adjustRightInd w:val="0"/>
        <w:snapToGrid w:val="0"/>
        <w:spacing w:line="320" w:lineRule="atLeast"/>
        <w:ind w:firstLine="1870" w:firstLineChars="85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w:t>
      </w:r>
    </w:p>
    <w:p w14:paraId="68BACC93">
      <w:pPr>
        <w:widowControl/>
        <w:jc w:val="left"/>
        <w:rPr>
          <w:rFonts w:hint="default" w:ascii="宋体" w:hAnsi="宋体" w:cs="宋体"/>
          <w:color w:val="000000"/>
          <w:kern w:val="0"/>
          <w:sz w:val="22"/>
          <w:szCs w:val="22"/>
          <w:lang w:val="en-US"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A2A8">
    <w:pPr>
      <w:pStyle w:val="4"/>
      <w:ind w:right="360"/>
      <w:jc w:val="center"/>
      <w:rPr>
        <w:rFonts w:hint="eastAsia"/>
        <w:color w:val="FF000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57DDB">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557DDB">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E33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TMwZjg1NTBhYzIzMzY4YjI3YmE2YzFjMzI3NzgifQ=="/>
  </w:docVars>
  <w:rsids>
    <w:rsidRoot w:val="59755FC7"/>
    <w:rsid w:val="0A31590C"/>
    <w:rsid w:val="0F4A796E"/>
    <w:rsid w:val="286F7D80"/>
    <w:rsid w:val="2A9974EF"/>
    <w:rsid w:val="3CC43B73"/>
    <w:rsid w:val="4AA4288E"/>
    <w:rsid w:val="4D1D72B7"/>
    <w:rsid w:val="4D853E88"/>
    <w:rsid w:val="4EC441FB"/>
    <w:rsid w:val="50EE2026"/>
    <w:rsid w:val="5476101E"/>
    <w:rsid w:val="55D17687"/>
    <w:rsid w:val="59755FC7"/>
    <w:rsid w:val="5A60446C"/>
    <w:rsid w:val="63173C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unhideWhenUsed/>
    <w:qFormat/>
    <w:uiPriority w:val="99"/>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1494</Words>
  <Characters>1538</Characters>
  <Lines>0</Lines>
  <Paragraphs>0</Paragraphs>
  <TotalTime>4</TotalTime>
  <ScaleCrop>false</ScaleCrop>
  <LinksUpToDate>false</LinksUpToDate>
  <CharactersWithSpaces>1584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2024-10-30T08:35:00Z</dcterms:created>
  <dc:creator>|▍Summer℡相守、</dc:creator>
  <cp:lastModifiedBy>陈平</cp:lastModifiedBy>
  <cp:lastPrinted>2024-12-26T02:38:00Z</cp:lastPrinted>
  <dcterms:modified xsi:type="dcterms:W3CDTF">2024-12-30T07:52:18Z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C294807EC979411FA26BA21BAFDF021A_13</vt:lpwstr>
  </property>
  <property fmtid="{D5CDD505-2E9C-101B-9397-08002B2CF9AE}" pid="4" name="KSOTemplateDocerSaveRecord">
    <vt:lpwstr>eyJoZGlkIjoiYzQxNWVkOWQ5MzVkNDM4Y2NiMzc5YjRiYTI1Mzg0NWEiLCJ1c2VySWQiOiI4OTcyNDcyMDkifQ==</vt:lpwstr>
  </property>
</Properties>
</file>